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70290">
      <w:pPr>
        <w:pStyle w:val="4"/>
        <w:rPr>
          <w:b/>
          <w:bCs/>
        </w:rPr>
      </w:pPr>
      <w:r>
        <w:rPr>
          <w:b/>
          <w:bCs/>
        </w:rPr>
        <w:t>Osnovna škola Side Košutić</w:t>
      </w:r>
    </w:p>
    <w:p w14:paraId="061973EF">
      <w:pPr>
        <w:pStyle w:val="4"/>
        <w:rPr>
          <w:b/>
          <w:bCs/>
        </w:rPr>
      </w:pPr>
      <w:r>
        <w:rPr>
          <w:b/>
          <w:bCs/>
        </w:rPr>
        <w:t xml:space="preserve">              Radoboj</w:t>
      </w:r>
    </w:p>
    <w:p w14:paraId="5924B840">
      <w:pPr>
        <w:pStyle w:val="4"/>
      </w:pPr>
      <w:r>
        <w:t xml:space="preserve">Klasa:  400-01/25-01/2 </w:t>
      </w:r>
    </w:p>
    <w:p w14:paraId="223028B8">
      <w:pPr>
        <w:pStyle w:val="4"/>
        <w:rPr>
          <w:rFonts w:hint="default"/>
          <w:lang w:val="hr-HR"/>
        </w:rPr>
      </w:pPr>
      <w:r>
        <w:t>Urbroj:  2140-78/01-26-1</w:t>
      </w:r>
      <w:r>
        <w:rPr>
          <w:rFonts w:hint="default"/>
          <w:lang w:val="hr-HR"/>
        </w:rPr>
        <w:t>3</w:t>
      </w:r>
    </w:p>
    <w:p w14:paraId="7BC61B08">
      <w:pPr>
        <w:pStyle w:val="4"/>
      </w:pPr>
      <w:r>
        <w:t>Radoboj, 2</w:t>
      </w:r>
      <w:r>
        <w:rPr>
          <w:rFonts w:hint="default"/>
          <w:lang w:val="hr-HR"/>
        </w:rPr>
        <w:t>8</w:t>
      </w:r>
      <w:r>
        <w:t>. srpnja 2026.</w:t>
      </w:r>
    </w:p>
    <w:p w14:paraId="591273A0">
      <w:pPr>
        <w:pStyle w:val="4"/>
      </w:pPr>
    </w:p>
    <w:p w14:paraId="4628F008">
      <w:pPr>
        <w:pStyle w:val="4"/>
      </w:pPr>
    </w:p>
    <w:p w14:paraId="667A6B40">
      <w:pPr>
        <w:pStyle w:val="4"/>
        <w:jc w:val="center"/>
        <w:rPr>
          <w:b/>
          <w:bCs/>
        </w:rPr>
      </w:pPr>
      <w:r>
        <w:rPr>
          <w:b/>
          <w:bCs/>
        </w:rPr>
        <w:t xml:space="preserve"> OBRAZLOŽENJ</w:t>
      </w:r>
      <w:r>
        <w:rPr>
          <w:rFonts w:hint="default"/>
          <w:b/>
          <w:bCs/>
          <w:lang w:val="hr-HR"/>
        </w:rPr>
        <w:t>E</w:t>
      </w:r>
      <w:r>
        <w:rPr>
          <w:b/>
          <w:bCs/>
        </w:rPr>
        <w:t xml:space="preserve"> IZVJEŠTAJA O IZVRŠENJU FINANCIJSKOG PLANA OSNOVNE ŠKOLE</w:t>
      </w:r>
    </w:p>
    <w:p w14:paraId="13DB9C3C">
      <w:pPr>
        <w:pStyle w:val="4"/>
        <w:jc w:val="center"/>
        <w:rPr>
          <w:b/>
          <w:bCs/>
        </w:rPr>
      </w:pPr>
      <w:r>
        <w:rPr>
          <w:b/>
          <w:bCs/>
        </w:rPr>
        <w:t xml:space="preserve"> SIDE KOŠUTIĆ RADOBOJ</w:t>
      </w:r>
    </w:p>
    <w:p w14:paraId="4B1C7DD5">
      <w:pPr>
        <w:pStyle w:val="4"/>
        <w:jc w:val="center"/>
        <w:rPr>
          <w:b/>
          <w:bCs/>
        </w:rPr>
      </w:pPr>
      <w:r>
        <w:rPr>
          <w:b/>
          <w:bCs/>
        </w:rPr>
        <w:t>ZA RAZDOBLJE 1-6/2026. GODINE</w:t>
      </w:r>
    </w:p>
    <w:p w14:paraId="7F2B6345">
      <w:pPr>
        <w:pStyle w:val="4"/>
        <w:jc w:val="center"/>
        <w:rPr>
          <w:b/>
          <w:bCs/>
        </w:rPr>
      </w:pPr>
    </w:p>
    <w:p w14:paraId="6A02919F">
      <w:pPr>
        <w:pStyle w:val="4"/>
      </w:pPr>
    </w:p>
    <w:p w14:paraId="1C580BDF">
      <w:pPr>
        <w:pStyle w:val="4"/>
      </w:pPr>
      <w:r>
        <w:t>Odredbama čl. 81. Zakona o proračunu (NN144/21) propisana je obaveza izrade i donošenja polugodišnjeg i godišnjeg izvještaja o izvršenju financijskog plana, a temeljem čl. 86. proračunski korisnik dužan je upravljačkom tijelu u skladu s aktima kojima je uređen rad proračunskog korisnika, izvještaj dostaviti na usvajanje, te ga dostaviti osnivaču.</w:t>
      </w:r>
    </w:p>
    <w:p w14:paraId="6447DB9B">
      <w:pPr>
        <w:pStyle w:val="4"/>
      </w:pPr>
      <w:r>
        <w:t>Polugodišnji izvještaj o izvršenju financijskog plana škola izrađuje temeljem Pravilnika o polugodišnjem i godišnjem izvještaju o izvršenju proračuna i financijskog plana (NN 85/23).</w:t>
      </w:r>
    </w:p>
    <w:p w14:paraId="7567C997">
      <w:pPr>
        <w:pStyle w:val="4"/>
      </w:pPr>
      <w:r>
        <w:t>Temeljem čl. 30. Pravilnika izvještaj o izvršenju financijskog plana sadrži: opći dio, posebni dio, obrazloženje i posebne izvještaje.</w:t>
      </w:r>
    </w:p>
    <w:p w14:paraId="029F39E8">
      <w:pPr>
        <w:pStyle w:val="4"/>
      </w:pPr>
      <w:r>
        <w:t>Za polugodišnje razdoblje sastavlja se samo obrazloženje općeg dijela izvještaja temeljem članka 42. Pravilnika.</w:t>
      </w:r>
    </w:p>
    <w:p w14:paraId="6169B9E3">
      <w:pPr>
        <w:pStyle w:val="4"/>
      </w:pPr>
      <w:r>
        <w:t>Izvještaj o izvršenju pokazuje da li su sredstva utrošena prema financijskom planu.</w:t>
      </w:r>
    </w:p>
    <w:p w14:paraId="7C427273">
      <w:pPr>
        <w:pStyle w:val="4"/>
      </w:pPr>
      <w:r>
        <w:t>Ostvarenje/izvršenje za prethodnu i tekuću godinu iskazuje se na razini razreda, skupine, podskupine i odjeljka ekonomske klasifikacije (4. razina), dok se plan iskazuje na razini razreda i skupine ekonomske klasifikacije (2. razina).</w:t>
      </w:r>
    </w:p>
    <w:p w14:paraId="2D564D7C">
      <w:pPr>
        <w:pStyle w:val="4"/>
      </w:pPr>
    </w:p>
    <w:p w14:paraId="7F3CF183">
      <w:pPr>
        <w:pStyle w:val="4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OBRAZLOŽENJE OPĆEG DIJELA IZVJEŠTAJA O IZVRŠENJU FINANCIJSKOG PLANA </w:t>
      </w:r>
    </w:p>
    <w:p w14:paraId="43A8A3DB">
      <w:pPr>
        <w:pStyle w:val="4"/>
        <w:ind w:left="720"/>
        <w:rPr>
          <w:b/>
          <w:bCs/>
          <w:sz w:val="24"/>
          <w:szCs w:val="24"/>
        </w:rPr>
      </w:pPr>
    </w:p>
    <w:p w14:paraId="6E769E66">
      <w:pPr>
        <w:pStyle w:val="4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OBRAZLOŽENJE OSTVARENJA PRIHODA I RASHODA, PRIMITAKA I IZDATAKA</w:t>
      </w:r>
    </w:p>
    <w:p w14:paraId="613B20C5">
      <w:pPr>
        <w:pStyle w:val="4"/>
        <w:ind w:left="720"/>
        <w:rPr>
          <w:i/>
          <w:iCs/>
        </w:rPr>
      </w:pPr>
    </w:p>
    <w:p w14:paraId="51946B9E">
      <w:pPr>
        <w:pStyle w:val="4"/>
        <w:rPr>
          <w:b/>
          <w:bCs/>
          <w:u w:val="single"/>
        </w:rPr>
      </w:pPr>
      <w:r>
        <w:rPr>
          <w:b/>
          <w:bCs/>
          <w:u w:val="single"/>
        </w:rPr>
        <w:t>Sažetak računa prihoda i rashoda i računa financiranja</w:t>
      </w:r>
    </w:p>
    <w:p w14:paraId="6121E9C4">
      <w:pPr>
        <w:pStyle w:val="4"/>
      </w:pPr>
      <w:r>
        <w:t>Iz općeg dijela  - sažetka prihoda i rashoda vidljivo je da su u izvještajnom razdoblju ostvareni ukupni prihodi poslovanja u iznosu od 728.061,21 €, što iznosi  48,91% plana dok u istom razdoblju ukupni rashodi iznose 723.393,79 €, odnosno 48,17% planiranih rashoda.</w:t>
      </w:r>
    </w:p>
    <w:p w14:paraId="7AB880DA">
      <w:pPr>
        <w:pStyle w:val="4"/>
      </w:pPr>
      <w:r>
        <w:t>Iz navedenog proizlazi da je na kraju izvještajnog razdoblja ostvaren višak prihoda u iznosu od 4.667,42 €. Višak prihoda poslovanja iznosi 8.510,68 €, a manjak prihoda od nefinancijske imovine iznosi 3.843,26 €. Višak prihoda nastao je najvećim dijelom iz razloga što su u 2026.g. ostvareni prihodi za pokriće izdataka iz prosinca 2025.g., a rashodi za mjesec lipanj tekuće godine (za koje nisu ostvareni prihodi u izvještajnom razdoblju) manji su od onih iskazanih za 12/2025.g.</w:t>
      </w:r>
    </w:p>
    <w:p w14:paraId="2825706D">
      <w:pPr>
        <w:pStyle w:val="4"/>
      </w:pPr>
      <w:r>
        <w:t>U izvještajnom razdoblju škola nije ostvarila primitke niti izdatke od financijske imovine i zaduživanja.</w:t>
      </w:r>
    </w:p>
    <w:p w14:paraId="2AC1E76A">
      <w:pPr>
        <w:pStyle w:val="4"/>
      </w:pPr>
      <w:r>
        <w:t>Iz 2025.g. škola je prenijela višak prihoda u iznosu od 13.205,88 €, od čega je u prvom polugodištu 2026.g. utrošeno 10.635,09 €.</w:t>
      </w:r>
    </w:p>
    <w:p w14:paraId="77D13427">
      <w:pPr>
        <w:pStyle w:val="4"/>
      </w:pPr>
    </w:p>
    <w:p w14:paraId="39A06FBC">
      <w:pPr>
        <w:pStyle w:val="4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Prihodi i primici</w:t>
      </w:r>
    </w:p>
    <w:p w14:paraId="2745B5BD">
      <w:pPr>
        <w:pStyle w:val="4"/>
      </w:pPr>
      <w:r>
        <w:t>Ukupni prihodi poslovanja u razdoblju 1-6/2026. godine ostvareni su u iznosu od 728.061,21 € što iznosi 48,91% planiranih prihoda.</w:t>
      </w:r>
    </w:p>
    <w:p w14:paraId="3859D60C">
      <w:pPr>
        <w:pStyle w:val="4"/>
      </w:pPr>
      <w:r>
        <w:t>U odnosu na isto razdoblje prethodne godine povećanje iznosi 5,27% odnosno 36.421,71 €.</w:t>
      </w:r>
    </w:p>
    <w:p w14:paraId="697561A6">
      <w:pPr>
        <w:pStyle w:val="4"/>
      </w:pPr>
      <w:r>
        <w:t>U obračunskom razdoblju ostvareni su prihodi poslovanja kako slijedi:</w:t>
      </w:r>
    </w:p>
    <w:p w14:paraId="57300E98">
      <w:pPr>
        <w:pStyle w:val="4"/>
      </w:pPr>
      <w:r>
        <w:rPr>
          <w:b/>
          <w:bCs/>
        </w:rPr>
        <w:t>Skupina 63 – Pomoći od subjekata unutar općeg proračuna</w:t>
      </w:r>
      <w:r>
        <w:t xml:space="preserve"> – obuhvaćaju prihode ostvarene od Ministarstva znanosti, obrazovanja i mladih u iznosu od 639.411,70 € što iznosi 48,87</w:t>
      </w:r>
      <w:r>
        <w:rPr>
          <w:b/>
          <w:bCs/>
        </w:rPr>
        <w:t>%</w:t>
      </w:r>
      <w:r>
        <w:t xml:space="preserve"> prihoda u odnosu na plan, a 2,81% ili 17.505,97 € više u odnosu na prethodnu godinu prvenstveno zbog povećanja izdataka za plaće (zbog povećanja osnovice), povećanja naknada i nagrada zaposlenicima.</w:t>
      </w:r>
    </w:p>
    <w:p w14:paraId="69ACCFA2">
      <w:pPr>
        <w:pStyle w:val="4"/>
      </w:pPr>
      <w:r>
        <w:t>U okviru tekućih pomoći iz državnog proračuna ostvareni su prihodi za plaće – 569.227,44  €, za materijalna prava zaposlenih 40.322,77€, prihodi za prehranu učenika u iznosu od 26.697,45 €, prihodi za plaćanje naknade za nezapošljavanje invalida – 1.244,00 €, te ostali prihodi u iznosu od 1.920,04 € (za menstrualne potrepštine za učenice, prijevoz učenika s teškoćama, terensku nastavu i razlika sredstava za projekte).</w:t>
      </w:r>
    </w:p>
    <w:p w14:paraId="1FF384C3">
      <w:pPr>
        <w:pStyle w:val="4"/>
      </w:pPr>
      <w:r>
        <w:t>U izvještajnom razdoblju ostvareni su i prihodi od jedinice lokalne samouprave – općina Radoboj u iznosu od 3.119,17 € za financiranje rada pomoćnika u nastavi od ožujka 2026. g.</w:t>
      </w:r>
    </w:p>
    <w:p w14:paraId="655035D2">
      <w:pPr>
        <w:pStyle w:val="4"/>
      </w:pPr>
    </w:p>
    <w:p w14:paraId="06E82B35">
      <w:pPr>
        <w:pStyle w:val="4"/>
        <w:rPr>
          <w:b/>
          <w:bCs/>
        </w:rPr>
      </w:pPr>
      <w:r>
        <w:rPr>
          <w:b/>
          <w:bCs/>
        </w:rPr>
        <w:t>Skupina 65 – Prihodi po posebnim propisima</w:t>
      </w:r>
    </w:p>
    <w:p w14:paraId="6DAFBB8F">
      <w:pPr>
        <w:pStyle w:val="4"/>
      </w:pPr>
      <w:r>
        <w:t>Na ovoj skupini evidentirani su prihodi od osiguranja u iznosu od 1.582,55 € za popravak parkirne rampe i prihodi u iznosu od 1.538,00 € ostvareni od županijskog sportskog saveza za sportske projekte koji se provode u školi.</w:t>
      </w:r>
    </w:p>
    <w:p w14:paraId="7CBF550E">
      <w:pPr>
        <w:pStyle w:val="4"/>
      </w:pPr>
      <w:r>
        <w:t>Ostvarenje ovih prihoda znatno je manje u odnosu na prethodnu godinu jer u tekućoj godini nisu ostvareni prihodi od uplata učenika, a ostvarenje je nešto veće u odnosu na plan zbog više ostvarenih prihoda od sportskog saveza.</w:t>
      </w:r>
    </w:p>
    <w:p w14:paraId="42E3A5A9">
      <w:pPr>
        <w:pStyle w:val="4"/>
      </w:pPr>
    </w:p>
    <w:p w14:paraId="6C2E6169">
      <w:pPr>
        <w:pStyle w:val="4"/>
        <w:rPr>
          <w:b/>
          <w:bCs/>
        </w:rPr>
      </w:pPr>
      <w:r>
        <w:rPr>
          <w:b/>
          <w:bCs/>
        </w:rPr>
        <w:t>Skupina 66 – Prihodi od prodaje robe i pruženih usluga i donacija</w:t>
      </w:r>
    </w:p>
    <w:p w14:paraId="61829055">
      <w:pPr>
        <w:pStyle w:val="4"/>
      </w:pPr>
      <w:r>
        <w:rPr>
          <w:u w:val="single"/>
        </w:rPr>
        <w:t>Prihodi od prodaje proizvoda i robe</w:t>
      </w:r>
      <w:r>
        <w:t xml:space="preserve"> obuhvaćaju prihode od prodaje proizvoda učeničke zadruge i u izvještajnom razdoblju ostvareni su u iznosu od 200,00 €.</w:t>
      </w:r>
    </w:p>
    <w:p w14:paraId="45A79B02">
      <w:pPr>
        <w:pStyle w:val="4"/>
      </w:pPr>
      <w:r>
        <w:rPr>
          <w:u w:val="single"/>
        </w:rPr>
        <w:t>Prihodi od pruženih usluga</w:t>
      </w:r>
      <w:r>
        <w:t xml:space="preserve"> obuhvaćaju prihode od najma školske sportske dvorane i ostvareni su iznosu od 2.895,00 € što je na razini planiranih prihoda.</w:t>
      </w:r>
    </w:p>
    <w:p w14:paraId="0AED6170">
      <w:pPr>
        <w:pStyle w:val="4"/>
      </w:pPr>
      <w:r>
        <w:t>U 2026.g. nisu ostvareni prihodi od donacija što je rezultiralo manjim postotkom ostvarenja prihoda u okviru ove skupine u odnosu na isto razdoblje prošle godine.</w:t>
      </w:r>
    </w:p>
    <w:p w14:paraId="782D0F78">
      <w:pPr>
        <w:pStyle w:val="4"/>
        <w:rPr>
          <w:b/>
          <w:bCs/>
        </w:rPr>
      </w:pPr>
      <w:r>
        <w:rPr>
          <w:b/>
          <w:bCs/>
        </w:rPr>
        <w:t>Skupina 67 – Prihodi od nadležnog proračuna</w:t>
      </w:r>
    </w:p>
    <w:p w14:paraId="17DBD799">
      <w:pPr>
        <w:pStyle w:val="4"/>
      </w:pPr>
      <w:r>
        <w:t>Prihodi od nadležnog proračuna za financiranje rashoda poslovanja ostvareni su u ukupnom iznosu od 79.314,79 € - 49,37% plana, odnosno 37,55% više u odnosu na prošlu godinu jer su u ovoj godini ostvareni prihodi za pokriće izdataka iz 12/2025.g.</w:t>
      </w:r>
    </w:p>
    <w:p w14:paraId="73B77576">
      <w:pPr>
        <w:pStyle w:val="4"/>
      </w:pPr>
      <w:r>
        <w:t xml:space="preserve">  Prihodi su ostvareni iz dva izvora:</w:t>
      </w:r>
    </w:p>
    <w:p w14:paraId="60222E45">
      <w:pPr>
        <w:pStyle w:val="4"/>
        <w:numPr>
          <w:ilvl w:val="0"/>
          <w:numId w:val="3"/>
        </w:numPr>
      </w:pPr>
      <w:r>
        <w:rPr>
          <w:u w:val="single"/>
        </w:rPr>
        <w:t>Izvorna sredstva županije</w:t>
      </w:r>
      <w:r>
        <w:t xml:space="preserve"> – 8.277,74 € (sredstva za rad pomoćnika u nastavi -10,7135691% ukupnih troškova, za rad e-tehničara, provedbu građanskog odgoja, učenika natjecanja, i sl.).</w:t>
      </w:r>
    </w:p>
    <w:p w14:paraId="1A55F764">
      <w:pPr>
        <w:pStyle w:val="4"/>
        <w:numPr>
          <w:ilvl w:val="0"/>
          <w:numId w:val="3"/>
        </w:numPr>
      </w:pPr>
      <w:r>
        <w:rPr>
          <w:u w:val="single"/>
        </w:rPr>
        <w:t>DEC sredstva</w:t>
      </w:r>
      <w:r>
        <w:t xml:space="preserve"> – sredstva za pokriće svih materijalno – financijskih rashoda poslovanja u iznosu od 50.186,11 € što je u skladu sa planiranim.</w:t>
      </w:r>
    </w:p>
    <w:p w14:paraId="32954F14">
      <w:pPr>
        <w:pStyle w:val="4"/>
        <w:numPr>
          <w:ilvl w:val="0"/>
          <w:numId w:val="3"/>
        </w:numPr>
      </w:pPr>
      <w:r>
        <w:rPr>
          <w:u w:val="single"/>
        </w:rPr>
        <w:t xml:space="preserve">Sredstva Ministarstva </w:t>
      </w:r>
      <w:r>
        <w:t>– 3.127,63 € (za dio plaće, prijevoza na posao i službena putovanja pomoćnika u nastavi – 15% preostalih 89,2864309%)</w:t>
      </w:r>
    </w:p>
    <w:p w14:paraId="67831C96">
      <w:pPr>
        <w:pStyle w:val="4"/>
        <w:numPr>
          <w:ilvl w:val="0"/>
          <w:numId w:val="3"/>
        </w:numPr>
      </w:pPr>
      <w:r>
        <w:rPr>
          <w:u w:val="single"/>
        </w:rPr>
        <w:t>Sredstva EU</w:t>
      </w:r>
      <w:r>
        <w:t>- ESF Plus – 17.723,31 € (za dio plaće, prijevoza na posao i službena putovanja pomoćnika u nastavi – 85% od preostalih 89,2864309)</w:t>
      </w:r>
    </w:p>
    <w:p w14:paraId="24B08F58">
      <w:pPr>
        <w:pStyle w:val="4"/>
      </w:pPr>
      <w:r>
        <w:t>Prihodi iz nadležnog proračuna za financiranje rashoda za nabavu nefinancijske imovine u iznosu od 1.990,13 € ostvareni su iz izvornih sredstava županije za nabavu namještaja.</w:t>
      </w:r>
    </w:p>
    <w:p w14:paraId="3A491BE2">
      <w:pPr>
        <w:pStyle w:val="4"/>
      </w:pPr>
    </w:p>
    <w:p w14:paraId="43C97C21">
      <w:pPr>
        <w:pStyle w:val="4"/>
      </w:pPr>
      <w:r>
        <w:t xml:space="preserve">Gledajući prihode prema izvorima financiranja najveći udio otpada na prihode, a time i rashode  iz izvora </w:t>
      </w:r>
      <w:r>
        <w:rPr>
          <w:b/>
          <w:bCs/>
        </w:rPr>
        <w:t xml:space="preserve">Pomoći </w:t>
      </w:r>
      <w:r>
        <w:t xml:space="preserve"> budući da se u okviru ovog izvora evidentiraju:</w:t>
      </w:r>
    </w:p>
    <w:p w14:paraId="0A138260">
      <w:pPr>
        <w:pStyle w:val="4"/>
        <w:numPr>
          <w:ilvl w:val="0"/>
          <w:numId w:val="4"/>
        </w:numPr>
      </w:pPr>
      <w:r>
        <w:t xml:space="preserve"> prihodi iz državnog proračuna - Ministarstvo (plaće i ostali rashode za zaposlene, sredstva za prehranu učenika i sl.)</w:t>
      </w:r>
    </w:p>
    <w:p w14:paraId="662A2D09">
      <w:pPr>
        <w:pStyle w:val="4"/>
        <w:numPr>
          <w:ilvl w:val="0"/>
          <w:numId w:val="4"/>
        </w:numPr>
      </w:pPr>
      <w:r>
        <w:t>prihodi iz proračuna JLS (plaće pomoćnika u nastavi)</w:t>
      </w:r>
    </w:p>
    <w:p w14:paraId="2CFABFDF">
      <w:pPr>
        <w:pStyle w:val="4"/>
        <w:numPr>
          <w:ilvl w:val="0"/>
          <w:numId w:val="4"/>
        </w:numPr>
      </w:pPr>
      <w:r>
        <w:t>prihodi za pokriće materijalno-financijskih rashoda – DEC sredstva</w:t>
      </w:r>
    </w:p>
    <w:p w14:paraId="6DAD9AB4">
      <w:pPr>
        <w:pStyle w:val="4"/>
        <w:numPr>
          <w:ilvl w:val="0"/>
          <w:numId w:val="4"/>
        </w:numPr>
      </w:pPr>
      <w:r>
        <w:t>prihodi iz državnog proračuna i Europske unije za financiranje rada pomoćnika u nastavi.</w:t>
      </w:r>
    </w:p>
    <w:p w14:paraId="297D4749">
      <w:pPr>
        <w:pStyle w:val="4"/>
      </w:pPr>
      <w:r>
        <w:t xml:space="preserve">Drugo mjesto gledajući udio u ukupnim prihodima zauzimaju prihodi iz izvora </w:t>
      </w:r>
      <w:r>
        <w:rPr>
          <w:b/>
          <w:bCs/>
        </w:rPr>
        <w:t>Opći prihodi i primici</w:t>
      </w:r>
      <w:r>
        <w:t>, a obuhvaćaju izvorna  sredstva ostvarena od Krapinsko-zagorske županije – ostvarenje 20,80% u odnosu na plan budući da se ostvarenje određenih prihoda planira u narednom obračunskom razdoblju. Znatno je manje i izvršenje u odnosu na prošlu godinu jer su prošle godine bili evidentirani izdaci vezani za prelazak škole na rad u jednoj smjeni.</w:t>
      </w:r>
    </w:p>
    <w:p w14:paraId="46248E04">
      <w:pPr>
        <w:pStyle w:val="4"/>
      </w:pPr>
      <w:r>
        <w:t>Planirani i realizirani</w:t>
      </w:r>
      <w:r>
        <w:rPr>
          <w:b/>
          <w:bCs/>
        </w:rPr>
        <w:t xml:space="preserve"> Prihodi za posebne namjene</w:t>
      </w:r>
      <w:r>
        <w:t xml:space="preserve"> obuhvaćaju prihode od osiguranja za naknadu štete i prihode od sportskog saveza za sportske aktivnosti učenika.</w:t>
      </w:r>
    </w:p>
    <w:p w14:paraId="6F8234D2">
      <w:pPr>
        <w:pStyle w:val="4"/>
      </w:pPr>
      <w:r>
        <w:t xml:space="preserve">Prihodi iz izvora </w:t>
      </w:r>
      <w:r>
        <w:rPr>
          <w:b/>
          <w:bCs/>
        </w:rPr>
        <w:t>Vlastiti prihodi</w:t>
      </w:r>
      <w:r>
        <w:t xml:space="preserve"> realizirani su u okviru plana, a odnose se na prihode od najma sportske dvorane. </w:t>
      </w:r>
    </w:p>
    <w:p w14:paraId="71315286">
      <w:pPr>
        <w:pStyle w:val="4"/>
        <w:ind w:left="720"/>
      </w:pPr>
    </w:p>
    <w:p w14:paraId="0ED786F8">
      <w:pPr>
        <w:pStyle w:val="4"/>
      </w:pPr>
    </w:p>
    <w:p w14:paraId="25590D80">
      <w:pPr>
        <w:pStyle w:val="4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Rashodi i izdaci</w:t>
      </w:r>
    </w:p>
    <w:p w14:paraId="5DC9A0A9">
      <w:pPr>
        <w:pStyle w:val="4"/>
      </w:pPr>
      <w:r>
        <w:t>U izvještajnom razdoblju ukupni rashodi iznose 723.393,79 €.</w:t>
      </w:r>
    </w:p>
    <w:p w14:paraId="521C95F7">
      <w:pPr>
        <w:pStyle w:val="4"/>
      </w:pPr>
      <w:r>
        <w:t>Rashodi poslovanja iznose 719.550,53 € - 48,17°% plana dok rashodi za nabavu nefinancijske imovine iznose 3.843,26 € - 47,70% plana.</w:t>
      </w:r>
    </w:p>
    <w:p w14:paraId="15C9AECF">
      <w:pPr>
        <w:pStyle w:val="4"/>
      </w:pPr>
      <w:r>
        <w:t>Rashodi poslovanja u razredu 3 obuhvaćaju rashode za zaposlene, te materijalno – financijske rashode poslovanja.</w:t>
      </w:r>
    </w:p>
    <w:p w14:paraId="754404B3">
      <w:pPr>
        <w:pStyle w:val="4"/>
        <w:rPr>
          <w:b/>
          <w:bCs/>
        </w:rPr>
      </w:pPr>
      <w:r>
        <w:rPr>
          <w:b/>
          <w:bCs/>
        </w:rPr>
        <w:t>Skupina 31 – Rashodi za zaposlene</w:t>
      </w:r>
    </w:p>
    <w:p w14:paraId="4D754E7F">
      <w:pPr>
        <w:pStyle w:val="4"/>
      </w:pPr>
      <w:r>
        <w:t>U skupini 31 evidentirani su rashodi za plaće i ostali rashodi za zaposlene – iznos od 620.247,64 €.</w:t>
      </w:r>
    </w:p>
    <w:p w14:paraId="28514790">
      <w:pPr>
        <w:pStyle w:val="4"/>
      </w:pPr>
      <w:r>
        <w:t>Ovi rashodi financirani su iz tri izvora i imaju najveći udio u strukturi ukupnih rashoda – 86,20%.</w:t>
      </w:r>
    </w:p>
    <w:p w14:paraId="51332897">
      <w:pPr>
        <w:pStyle w:val="4"/>
      </w:pPr>
      <w:r>
        <w:t>Najveći dio rashoda za plaće i naknade financira se iz izvora 5.0.119 Ministarstvo – 591.987,90 € - realizacija 48,12% plana.</w:t>
      </w:r>
    </w:p>
    <w:p w14:paraId="32A91B6C">
      <w:pPr>
        <w:pStyle w:val="4"/>
      </w:pPr>
      <w:r>
        <w:t>Na rashode za plaće i naknade pomoćnika u nastavi  otpada 28.259,74 €. Ovi izdaci financirani su iz četiri izvora: opći prihodi i primici – izvorna sredstva županije u iznosu od 4.087,58 €, izvor pomoći – ministarstvo – 3.109,73 €, izvor ministarstvo – prijenos EU iznos od 17.621,78 € i Izvor JLS – .3440,65 €</w:t>
      </w:r>
    </w:p>
    <w:p w14:paraId="1C8DCDA9">
      <w:pPr>
        <w:pStyle w:val="4"/>
        <w:rPr>
          <w:b/>
          <w:bCs/>
        </w:rPr>
      </w:pPr>
      <w:r>
        <w:rPr>
          <w:b/>
          <w:bCs/>
        </w:rPr>
        <w:t>Skupina 32 – Materijalni rashodi</w:t>
      </w:r>
    </w:p>
    <w:p w14:paraId="08E63B53">
      <w:pPr>
        <w:pStyle w:val="4"/>
      </w:pPr>
      <w:r>
        <w:t>Materijalni rashodi poslovanja u  obračunskom razdoblju iznose 98.699,27 € što iznosi 50,98% planiranih rashoda. Izvršenje je neznatno veće u odnosu na isto razdoblje prošle godine.</w:t>
      </w:r>
    </w:p>
    <w:p w14:paraId="0717948E">
      <w:pPr>
        <w:pStyle w:val="4"/>
      </w:pPr>
      <w:r>
        <w:t>U skupini 32 evidentirane su naknade troškova zaposlenima (službena putovanja, naknade za prijevoz na posao i s posla, izdaci za stručno usavršavanje zaposlenika i sl.) – iznos od 22.967,18 €, izdaci za materijal i energiju (uredski i materijal za nastavu, materijal za održavanje, namirnice za školsku kuhinju i sl.) – 50.784,23 €,  izdaci za usluge telefona, pošte, prijevoza, usluge održavanja, komunalne, računalne zdravstvene, intelektualne i slične usluge 21.982,42 €, te ostali nespomenuti rashodi poslovanja -  izdaci za članarine, pristojbe i naknade, te ostali nespomenuti rashodi poslovanja u iznosu od 2.965,44 €.</w:t>
      </w:r>
    </w:p>
    <w:p w14:paraId="59DF8583">
      <w:pPr>
        <w:pStyle w:val="4"/>
      </w:pPr>
      <w:r>
        <w:t>Do povećanje izdataka za stručno usavršavanje zaposlenika u odnosu na prethodnu godinu je jer su zaposlenici osposobljeni za zaštitu od požara, i zaštitu na radu, a dio zaposlenika završio je i osnovni tečaj pružanja prve pomoći.</w:t>
      </w:r>
    </w:p>
    <w:p w14:paraId="61382433">
      <w:pPr>
        <w:pStyle w:val="4"/>
      </w:pPr>
      <w:r>
        <w:t>Povećanje izdataka za usluge tekućeg i investicijskog održavanja nastalo je zbog izdataka vezanih za uređenje školskih prostora.</w:t>
      </w:r>
    </w:p>
    <w:p w14:paraId="46B084B1">
      <w:pPr>
        <w:pStyle w:val="4"/>
      </w:pPr>
      <w:r>
        <w:t>U okviru ostalih usluga evidentirani su izdaci za obavljanje poslova zaštite od požara, koji nisu bili evidentirani u istom razdoblju prošle godine.</w:t>
      </w:r>
    </w:p>
    <w:p w14:paraId="57BE9E99">
      <w:pPr>
        <w:pStyle w:val="4"/>
      </w:pPr>
      <w:r>
        <w:t>Rashodi iz ove skupine financirani su iz slijedećih izvora:</w:t>
      </w:r>
    </w:p>
    <w:p w14:paraId="46D73CA2">
      <w:pPr>
        <w:pStyle w:val="4"/>
        <w:ind w:firstLine="708"/>
      </w:pPr>
      <w:r>
        <w:t>1.1. Opći prihodi i primici – izvorna sredstva K-Z županije – 1.185,21 € (naknade troškova zaposlenima – prijevoz na posao PUN i troškovi sudjelovanja na natjecanjima, ugovori o djelu – građanski odgoj i e-tehničar, sl.)</w:t>
      </w:r>
    </w:p>
    <w:p w14:paraId="4A3DDFA7">
      <w:pPr>
        <w:pStyle w:val="4"/>
      </w:pPr>
      <w:r>
        <w:t xml:space="preserve">              5.0.3. Decentralizacija – 40.635,21 € (naknade troškova za zaposlene, rashodi za materijal i energiju, rashodi za usluge telefona, pošte, prijevoza, održavanja, komunalne usluge, licence, premije osiguranja i sl.)</w:t>
      </w:r>
    </w:p>
    <w:p w14:paraId="42B9EA7A">
      <w:pPr>
        <w:pStyle w:val="4"/>
        <w:ind w:firstLine="708"/>
      </w:pPr>
      <w:r>
        <w:t>3.1. Vlastiti prihodi – 7.152,18 € (materijal za nastavu, usluge održavanja zgrada, članarina uč. zadruge i sl.). Izdaci pokriveni iz viška prihoda prethodne godine iznose 5.897,50 € - usluge održavanja – krečenje.</w:t>
      </w:r>
    </w:p>
    <w:p w14:paraId="716517DE">
      <w:pPr>
        <w:pStyle w:val="4"/>
        <w:ind w:firstLine="708"/>
      </w:pPr>
      <w:r>
        <w:t>4.3.1. Posebne namjene – 4.4890,29 € (materijal za nastavu, usluge održavanja i sl.). Izdaci u iznosu od 2.827,02 € (usluge održavanja i materijal za redovno poslovanje financirani su iz prenesenog viška 2025.g.</w:t>
      </w:r>
    </w:p>
    <w:p w14:paraId="4E519FC6">
      <w:pPr>
        <w:pStyle w:val="4"/>
        <w:ind w:firstLine="708"/>
      </w:pPr>
      <w:r>
        <w:t>5.2.1. Pomoći - Ministarstvo – 43.107,60 € (izdaci za prijevoz na posao, materijal za nastavu, namirnice, naknada za nezapošljavanje invalida, prijevoz na terensku nastavu i sl.). Izdaci u iznosu od 755,00 € financirani su iz prenesenog viška 2025.g.</w:t>
      </w:r>
    </w:p>
    <w:p w14:paraId="1B9D4F04">
      <w:pPr>
        <w:pStyle w:val="4"/>
        <w:ind w:firstLine="708"/>
      </w:pPr>
      <w:r>
        <w:t>6.2. Donacije – 148,94 € -materijal za nastavu – financiran iz prenesenog viška 2025.</w:t>
      </w:r>
    </w:p>
    <w:p w14:paraId="2C6B6026">
      <w:pPr>
        <w:pStyle w:val="4"/>
        <w:rPr>
          <w:b/>
          <w:bCs/>
        </w:rPr>
      </w:pPr>
      <w:r>
        <w:rPr>
          <w:b/>
          <w:bCs/>
        </w:rPr>
        <w:t>Skupina 34 – Financijski rashodi</w:t>
      </w:r>
    </w:p>
    <w:p w14:paraId="2E5456E4">
      <w:pPr>
        <w:pStyle w:val="4"/>
      </w:pPr>
      <w:r>
        <w:t>Prema ekonomskoj klasifikaciji tu se evidentiraju naknade za bankarske usluge i usluge platnog prometa. Zbog gašenja žiro-računa škole i prelaska na poslovanje putem lokale riznice škola u izvještajnom razdoblju nije imala financijskih rashoda.</w:t>
      </w:r>
    </w:p>
    <w:p w14:paraId="29F87693">
      <w:pPr>
        <w:pStyle w:val="4"/>
      </w:pPr>
      <w:r>
        <w:rPr>
          <w:b/>
          <w:bCs/>
        </w:rPr>
        <w:t>Skupina 37 – Naknade građanima i kućanstvima</w:t>
      </w:r>
      <w:r>
        <w:t xml:space="preserve"> </w:t>
      </w:r>
    </w:p>
    <w:p w14:paraId="5F82B325">
      <w:pPr>
        <w:pStyle w:val="4"/>
      </w:pPr>
      <w:r>
        <w:t>U izvještajnom razdoblju evidentirani su izdaci za prijevoz učenika s teškoćama koji se financiraju iz izvora Pomoći – Ministarstvo.</w:t>
      </w:r>
    </w:p>
    <w:p w14:paraId="74962E6F">
      <w:pPr>
        <w:pStyle w:val="4"/>
        <w:rPr>
          <w:b/>
          <w:bCs/>
        </w:rPr>
      </w:pPr>
      <w:r>
        <w:rPr>
          <w:b/>
          <w:bCs/>
        </w:rPr>
        <w:t>Skupina 38 - Ostali rashodi</w:t>
      </w:r>
    </w:p>
    <w:p w14:paraId="40804EB6">
      <w:pPr>
        <w:pStyle w:val="4"/>
      </w:pPr>
      <w:r>
        <w:t>Na ovoj skupini evidentirani su, prema uputi, izdaci za nabavu menstrualnih higijenskih potrepština za učenice škole u iznosu od 418,50 € financirani iz izvora  Pomoći - Ministarstvo.</w:t>
      </w:r>
    </w:p>
    <w:p w14:paraId="155875A9">
      <w:pPr>
        <w:pStyle w:val="4"/>
      </w:pPr>
    </w:p>
    <w:p w14:paraId="7DA68A31">
      <w:pPr>
        <w:pStyle w:val="4"/>
      </w:pPr>
      <w:r>
        <w:t>U razredu 4 evidentirani su rashodi za nabavu nefinancijske imovine.</w:t>
      </w:r>
    </w:p>
    <w:p w14:paraId="791063AC">
      <w:pPr>
        <w:pStyle w:val="4"/>
        <w:rPr>
          <w:b/>
          <w:bCs/>
        </w:rPr>
      </w:pPr>
      <w:r>
        <w:rPr>
          <w:b/>
          <w:bCs/>
        </w:rPr>
        <w:t>Skupina 42- Rashodi za nabavu proizvedene dugotrajne imovine</w:t>
      </w:r>
    </w:p>
    <w:p w14:paraId="3BAD6E3E">
      <w:pPr>
        <w:pStyle w:val="4"/>
      </w:pPr>
      <w:r>
        <w:t>Ukupni rashodi za nabavu nefinancijske imovine u izvještajnom razdoblju iznose 3.843,26 € što iznosi 47,80% planiranih izdataka.</w:t>
      </w:r>
    </w:p>
    <w:p w14:paraId="7760B913">
      <w:pPr>
        <w:pStyle w:val="4"/>
      </w:pPr>
      <w:r>
        <w:t>Izdaci su vezani za nabavu računalne opreme u iznosu od 1.355,63 €, nabavu namještaja u iznosu od 1.990,13 € i nabavu ostale opreme za nastavu u iznosu od 497,50 €. Nabava namještaja financirana je iz izvornih prihoda županije, dok je nabava ostale opreme financirana iz sredstava Ministarstva – 349,00 €, dijelom iz prenesenog viška na izvoru donacije, a dijelom iz ostvarenih vlastitih prihoda.</w:t>
      </w:r>
    </w:p>
    <w:p w14:paraId="10C71C52">
      <w:pPr>
        <w:pStyle w:val="4"/>
      </w:pPr>
    </w:p>
    <w:p w14:paraId="2653059F">
      <w:pPr>
        <w:pStyle w:val="4"/>
      </w:pPr>
      <w:r>
        <w:t>Iz navedenog je vidljivo da je poslovanje škole u najvećoj mjeri povezano s namjenskim i proračunskim izvorima financiranja, dok su u manjem opsegu zastupljeni ostali izvori – vlastiti prihodi, donacije, prihodi za posebne namjene i sl.)</w:t>
      </w:r>
    </w:p>
    <w:p w14:paraId="2A49434B">
      <w:pPr>
        <w:pStyle w:val="4"/>
        <w:rPr>
          <w:b/>
          <w:bCs/>
          <w:u w:val="single"/>
        </w:rPr>
      </w:pPr>
    </w:p>
    <w:p w14:paraId="48B94765">
      <w:pPr>
        <w:pStyle w:val="4"/>
        <w:rPr>
          <w:b/>
          <w:bCs/>
          <w:u w:val="single"/>
        </w:rPr>
      </w:pPr>
    </w:p>
    <w:p w14:paraId="5A0B7529">
      <w:pPr>
        <w:pStyle w:val="4"/>
        <w:rPr>
          <w:u w:val="single"/>
        </w:rPr>
      </w:pPr>
      <w:r>
        <w:rPr>
          <w:u w:val="single"/>
        </w:rPr>
        <w:t xml:space="preserve">RASHODI PREMA FUNKCIJSKOJ KLASIFIKACIJI </w:t>
      </w:r>
    </w:p>
    <w:p w14:paraId="35908791">
      <w:pPr>
        <w:pStyle w:val="4"/>
      </w:pPr>
      <w:r>
        <w:t>Funkcijska klasifikacija sadrži aktivnosti, to jest projekte korisnika proračuna razvrstane prema njihovoj namjeni.</w:t>
      </w:r>
    </w:p>
    <w:p w14:paraId="04AD8B10">
      <w:pPr>
        <w:pStyle w:val="4"/>
      </w:pPr>
      <w:r>
        <w:t>Prema članku 14. Pravilnika o proračunskim klasifikacijama, rashodi obrazovanja svrstani su u obrazovanje 0912- Osnovno obrazovanje.</w:t>
      </w:r>
    </w:p>
    <w:p w14:paraId="10BC9FEF">
      <w:pPr>
        <w:pStyle w:val="4"/>
      </w:pPr>
      <w:r>
        <w:t>Dodatne usluge u obrazovanju iskazane na ovoj poziciji u iznosu od 24.196,33 € obuhvaćaju izdatke za prehranu učenika.</w:t>
      </w:r>
    </w:p>
    <w:p w14:paraId="2F50535D">
      <w:pPr>
        <w:pStyle w:val="4"/>
      </w:pPr>
      <w:r>
        <w:t xml:space="preserve">Izvršenje u odnosu na plan iznosi 55,75%. </w:t>
      </w:r>
    </w:p>
    <w:p w14:paraId="379AF1D3">
      <w:pPr>
        <w:pStyle w:val="4"/>
      </w:pPr>
    </w:p>
    <w:p w14:paraId="4E3BF9BA">
      <w:pPr>
        <w:pStyle w:val="4"/>
        <w:rPr>
          <w:u w:val="single"/>
        </w:rPr>
      </w:pPr>
      <w:r>
        <w:rPr>
          <w:u w:val="single"/>
        </w:rPr>
        <w:t>RAČUN FINANCIRANJA PREMA EKONOMSKOJ KLASIFIKACIJI I IZVORIMA FINANCIRANJA</w:t>
      </w:r>
    </w:p>
    <w:p w14:paraId="00D5F1F9">
      <w:pPr>
        <w:pStyle w:val="4"/>
      </w:pPr>
      <w:r>
        <w:t>Budući da škola nema primitaka od financijske imovine i zaduživanja, niti izdataka za financijsku imovinu i otplate zajmova u ovim izvještajima nema iskazanih podataka.</w:t>
      </w:r>
    </w:p>
    <w:p w14:paraId="2AB0973A">
      <w:pPr>
        <w:pStyle w:val="4"/>
      </w:pPr>
    </w:p>
    <w:p w14:paraId="263BAA29">
      <w:pPr>
        <w:pStyle w:val="4"/>
      </w:pPr>
    </w:p>
    <w:p w14:paraId="71898D00">
      <w:pPr>
        <w:pStyle w:val="4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OBRAZLOŽENJE PRIJENOSA SREDSTAVA IZ PRETHODNE GODINE I PRIJENOSA U SLIJEDEĆE RAZDOBLJE</w:t>
      </w:r>
    </w:p>
    <w:p w14:paraId="133CD506">
      <w:pPr>
        <w:pStyle w:val="4"/>
        <w:ind w:left="720"/>
        <w:rPr>
          <w:i/>
          <w:iCs/>
        </w:rPr>
      </w:pPr>
    </w:p>
    <w:p w14:paraId="418A55C7">
      <w:pPr>
        <w:pStyle w:val="4"/>
      </w:pPr>
      <w:r>
        <w:t>U dijelu koji se odnosi na preneseni višak ili manjak iskazan je donos viška prihoda iz 2025. godine u ukupnom iznosu od 13.205,88 € za koji je planirano trošenje u 2026.g.</w:t>
      </w:r>
    </w:p>
    <w:p w14:paraId="66B923B2">
      <w:pPr>
        <w:pStyle w:val="4"/>
      </w:pPr>
      <w:r>
        <w:t>U izvještajnom razdoblju od prenesenog viška utrošen je iznos od 10.635,09 € - izvor Donacije – 1.155,57 €, Izvor Ministarstvo – 755,00 €, izvor Posebne namjene – 2.827,02 € i izvor Vlastiti prihodi – 5.897,50 €.</w:t>
      </w:r>
    </w:p>
    <w:p w14:paraId="696387CD">
      <w:pPr>
        <w:pStyle w:val="4"/>
      </w:pPr>
      <w:r>
        <w:t>Na kraju izvještajnog razdoblja iz prenesenog viška neutrošeno je ostalo 2.570,79 €  na izvoru Vlastiti prihodi - iznos se prenosi u slijedeće razdoblje u kojem se planira trošenje.</w:t>
      </w:r>
    </w:p>
    <w:p w14:paraId="2B2928CE">
      <w:pPr>
        <w:pStyle w:val="4"/>
      </w:pPr>
    </w:p>
    <w:p w14:paraId="1099320F">
      <w:pPr>
        <w:pStyle w:val="4"/>
      </w:pPr>
    </w:p>
    <w:p w14:paraId="61B6FBB5">
      <w:pPr>
        <w:pStyle w:val="4"/>
      </w:pPr>
      <w:bookmarkStart w:id="0" w:name="_Hlk172534041"/>
      <w:bookmarkStart w:id="1" w:name="_Hlk172533182"/>
    </w:p>
    <w:bookmarkEnd w:id="0"/>
    <w:bookmarkEnd w:id="1"/>
    <w:p w14:paraId="435AEA1E">
      <w:pPr>
        <w:pStyle w:val="4"/>
        <w:ind w:left="2160"/>
        <w:rPr>
          <w:b/>
          <w:bCs/>
        </w:rPr>
      </w:pPr>
      <w:r>
        <w:rPr>
          <w:b/>
          <w:bCs/>
        </w:rPr>
        <w:t xml:space="preserve">                          IV. POSEBNI IZVJEŠTAJI</w:t>
      </w:r>
    </w:p>
    <w:p w14:paraId="590AFB70">
      <w:pPr>
        <w:pStyle w:val="4"/>
        <w:jc w:val="center"/>
        <w:rPr>
          <w:b/>
          <w:bCs/>
        </w:rPr>
      </w:pPr>
      <w:bookmarkStart w:id="2" w:name="_Hlk141053538"/>
    </w:p>
    <w:p w14:paraId="0D86769D">
      <w:pPr>
        <w:pStyle w:val="4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Izvještaj o zaduživanju na tržištu novca i kapitala</w:t>
      </w:r>
    </w:p>
    <w:p w14:paraId="6F279D5A">
      <w:pPr>
        <w:pStyle w:val="4"/>
        <w:ind w:left="720"/>
      </w:pPr>
      <w:r>
        <w:t>U razdoblju 1-6/2026. godine, kao ni u prethodnim razdobljima, škola se nije zaduživala na tržištu novca i kapitala.</w:t>
      </w:r>
    </w:p>
    <w:p w14:paraId="7A987603">
      <w:pPr>
        <w:pStyle w:val="4"/>
        <w:ind w:left="720"/>
      </w:pPr>
    </w:p>
    <w:bookmarkEnd w:id="2"/>
    <w:p w14:paraId="2BEAF13C">
      <w:pPr>
        <w:pStyle w:val="4"/>
        <w:ind w:left="720"/>
      </w:pPr>
    </w:p>
    <w:p w14:paraId="7F6155DA">
      <w:pPr>
        <w:pStyle w:val="4"/>
        <w:ind w:firstLine="550" w:firstLineChars="250"/>
        <w:rPr>
          <w:rFonts w:hint="default"/>
          <w:lang w:val="hr-HR"/>
        </w:rPr>
      </w:pPr>
      <w:r>
        <w:rPr>
          <w:rFonts w:hint="default"/>
          <w:lang w:val="hr-HR"/>
        </w:rPr>
        <w:t>Predsjednica Šk. odbora</w:t>
      </w:r>
      <w:r>
        <w:t>:</w:t>
      </w:r>
      <w:r>
        <w:rPr>
          <w:rFonts w:hint="default"/>
          <w:lang w:val="hr-HR"/>
        </w:rPr>
        <w:tab/>
      </w:r>
      <w:r>
        <w:rPr>
          <w:rFonts w:hint="default"/>
          <w:lang w:val="hr-HR"/>
        </w:rPr>
        <w:tab/>
      </w:r>
      <w:r>
        <w:rPr>
          <w:rFonts w:hint="default"/>
          <w:lang w:val="hr-HR"/>
        </w:rPr>
        <w:tab/>
      </w:r>
      <w:r>
        <w:rPr>
          <w:rFonts w:hint="default"/>
          <w:lang w:val="hr-HR"/>
        </w:rPr>
        <w:tab/>
      </w:r>
      <w:r>
        <w:rPr>
          <w:rFonts w:hint="default"/>
          <w:lang w:val="hr-HR"/>
        </w:rPr>
        <w:tab/>
      </w:r>
      <w:r>
        <w:rPr>
          <w:rFonts w:hint="default"/>
          <w:lang w:val="hr-HR"/>
        </w:rPr>
        <w:t>Ravnateljica:</w:t>
      </w:r>
    </w:p>
    <w:p w14:paraId="53B1B9CB">
      <w:pPr>
        <w:pStyle w:val="4"/>
        <w:ind w:firstLine="550" w:firstLineChars="250"/>
        <w:rPr>
          <w:rFonts w:hint="default"/>
          <w:lang w:val="hr-HR"/>
        </w:rPr>
      </w:pPr>
      <w:r>
        <w:t xml:space="preserve">Dijana </w:t>
      </w:r>
      <w:r>
        <w:rPr>
          <w:rFonts w:hint="default"/>
          <w:lang w:val="hr-HR"/>
        </w:rPr>
        <w:t>Mikša</w:t>
      </w:r>
      <w:r>
        <w:tab/>
      </w:r>
      <w:r>
        <w:rPr>
          <w:rFonts w:hint="default"/>
          <w:lang w:val="hr-HR"/>
        </w:rPr>
        <w:tab/>
      </w:r>
      <w:r>
        <w:rPr>
          <w:rFonts w:hint="default"/>
          <w:lang w:val="hr-HR"/>
        </w:rPr>
        <w:tab/>
      </w:r>
      <w:r>
        <w:rPr>
          <w:rFonts w:hint="default"/>
          <w:lang w:val="hr-HR"/>
        </w:rPr>
        <w:tab/>
      </w:r>
      <w:r>
        <w:rPr>
          <w:rFonts w:hint="default"/>
          <w:lang w:val="hr-HR"/>
        </w:rPr>
        <w:tab/>
      </w:r>
      <w:r>
        <w:rPr>
          <w:rFonts w:hint="default"/>
          <w:lang w:val="hr-HR"/>
        </w:rPr>
        <w:tab/>
      </w:r>
      <w:r>
        <w:rPr>
          <w:rFonts w:hint="default"/>
          <w:lang w:val="hr-HR"/>
        </w:rPr>
        <w:t>Dijana Šalković</w:t>
      </w:r>
    </w:p>
    <w:p w14:paraId="2D06CC1F">
      <w:pPr>
        <w:pStyle w:val="4"/>
      </w:pPr>
    </w:p>
    <w:p w14:paraId="3F61F772">
      <w:pPr>
        <w:pStyle w:val="4"/>
      </w:pPr>
      <w:bookmarkStart w:id="3" w:name="_GoBack"/>
      <w:bookmarkEnd w:id="3"/>
    </w:p>
    <w:p w14:paraId="65C644BC">
      <w:pPr>
        <w:pStyle w:val="4"/>
      </w:pPr>
    </w:p>
    <w:p w14:paraId="19123078">
      <w:pPr>
        <w:pStyle w:val="4"/>
      </w:pPr>
    </w:p>
    <w:p w14:paraId="72E93B8D">
      <w:pPr>
        <w:pStyle w:val="4"/>
      </w:pPr>
    </w:p>
    <w:p w14:paraId="75E0D9B9">
      <w:pPr>
        <w:pStyle w:val="4"/>
      </w:pPr>
    </w:p>
    <w:sectPr>
      <w:pgSz w:w="11906" w:h="16838"/>
      <w:pgMar w:top="851" w:right="1418" w:bottom="454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5938E3"/>
    <w:multiLevelType w:val="multilevel"/>
    <w:tmpl w:val="395938E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3F3041"/>
    <w:multiLevelType w:val="multilevel"/>
    <w:tmpl w:val="633F3041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8F3245"/>
    <w:multiLevelType w:val="multilevel"/>
    <w:tmpl w:val="638F3245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72975A20"/>
    <w:multiLevelType w:val="multilevel"/>
    <w:tmpl w:val="72975A20"/>
    <w:lvl w:ilvl="0" w:tentative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D900A1"/>
    <w:multiLevelType w:val="multilevel"/>
    <w:tmpl w:val="74D900A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3F2"/>
    <w:rsid w:val="00003205"/>
    <w:rsid w:val="00003765"/>
    <w:rsid w:val="0001611C"/>
    <w:rsid w:val="00020ACB"/>
    <w:rsid w:val="00022FEA"/>
    <w:rsid w:val="00046FC3"/>
    <w:rsid w:val="000606C4"/>
    <w:rsid w:val="00070D88"/>
    <w:rsid w:val="00074F73"/>
    <w:rsid w:val="000926C8"/>
    <w:rsid w:val="000A40D5"/>
    <w:rsid w:val="000C58DD"/>
    <w:rsid w:val="000D708C"/>
    <w:rsid w:val="001108B8"/>
    <w:rsid w:val="00112403"/>
    <w:rsid w:val="00123D20"/>
    <w:rsid w:val="00127BFE"/>
    <w:rsid w:val="0014242D"/>
    <w:rsid w:val="001434BC"/>
    <w:rsid w:val="00143CC5"/>
    <w:rsid w:val="00152DDC"/>
    <w:rsid w:val="001666F2"/>
    <w:rsid w:val="00171D9E"/>
    <w:rsid w:val="00175188"/>
    <w:rsid w:val="0018595A"/>
    <w:rsid w:val="001864A3"/>
    <w:rsid w:val="001A7C00"/>
    <w:rsid w:val="001C4BEC"/>
    <w:rsid w:val="001E160B"/>
    <w:rsid w:val="001F0E10"/>
    <w:rsid w:val="00200896"/>
    <w:rsid w:val="002205B0"/>
    <w:rsid w:val="00223498"/>
    <w:rsid w:val="002376CA"/>
    <w:rsid w:val="00260B4F"/>
    <w:rsid w:val="00262039"/>
    <w:rsid w:val="00281AF7"/>
    <w:rsid w:val="00291318"/>
    <w:rsid w:val="002B3489"/>
    <w:rsid w:val="002C14C7"/>
    <w:rsid w:val="002C443D"/>
    <w:rsid w:val="002E29CC"/>
    <w:rsid w:val="002F605D"/>
    <w:rsid w:val="0030412D"/>
    <w:rsid w:val="00314255"/>
    <w:rsid w:val="00317010"/>
    <w:rsid w:val="00317894"/>
    <w:rsid w:val="003218E9"/>
    <w:rsid w:val="00330E71"/>
    <w:rsid w:val="0034429A"/>
    <w:rsid w:val="003447BC"/>
    <w:rsid w:val="00366B8E"/>
    <w:rsid w:val="003900FD"/>
    <w:rsid w:val="003A3EC4"/>
    <w:rsid w:val="003C540F"/>
    <w:rsid w:val="003E751A"/>
    <w:rsid w:val="003F526C"/>
    <w:rsid w:val="004007D4"/>
    <w:rsid w:val="004045FF"/>
    <w:rsid w:val="004220A9"/>
    <w:rsid w:val="00427D41"/>
    <w:rsid w:val="0045451B"/>
    <w:rsid w:val="004559A1"/>
    <w:rsid w:val="004730D8"/>
    <w:rsid w:val="00484651"/>
    <w:rsid w:val="00494114"/>
    <w:rsid w:val="004A6AAC"/>
    <w:rsid w:val="004B14D6"/>
    <w:rsid w:val="004D76DF"/>
    <w:rsid w:val="004E5007"/>
    <w:rsid w:val="005131EA"/>
    <w:rsid w:val="0054517B"/>
    <w:rsid w:val="00550A4A"/>
    <w:rsid w:val="005528A3"/>
    <w:rsid w:val="0056654B"/>
    <w:rsid w:val="005779E9"/>
    <w:rsid w:val="00582020"/>
    <w:rsid w:val="005A496E"/>
    <w:rsid w:val="005A550E"/>
    <w:rsid w:val="005B770C"/>
    <w:rsid w:val="005D5103"/>
    <w:rsid w:val="00626402"/>
    <w:rsid w:val="00642554"/>
    <w:rsid w:val="0066751D"/>
    <w:rsid w:val="006709B7"/>
    <w:rsid w:val="0067537A"/>
    <w:rsid w:val="006B76A9"/>
    <w:rsid w:val="006C3A90"/>
    <w:rsid w:val="006D7C99"/>
    <w:rsid w:val="006F3C5A"/>
    <w:rsid w:val="00704FED"/>
    <w:rsid w:val="007147D5"/>
    <w:rsid w:val="00730DDE"/>
    <w:rsid w:val="00772FBE"/>
    <w:rsid w:val="00781A0E"/>
    <w:rsid w:val="007877A8"/>
    <w:rsid w:val="007B7E99"/>
    <w:rsid w:val="007C39A8"/>
    <w:rsid w:val="007E7D34"/>
    <w:rsid w:val="007F6075"/>
    <w:rsid w:val="007F7600"/>
    <w:rsid w:val="0080457A"/>
    <w:rsid w:val="0080678E"/>
    <w:rsid w:val="0082347C"/>
    <w:rsid w:val="00831AC7"/>
    <w:rsid w:val="00844443"/>
    <w:rsid w:val="0085142B"/>
    <w:rsid w:val="00851B45"/>
    <w:rsid w:val="00854C97"/>
    <w:rsid w:val="0086246D"/>
    <w:rsid w:val="008A0304"/>
    <w:rsid w:val="008A4B80"/>
    <w:rsid w:val="008C6701"/>
    <w:rsid w:val="008C6FD7"/>
    <w:rsid w:val="008C7C24"/>
    <w:rsid w:val="008D3F86"/>
    <w:rsid w:val="008E157F"/>
    <w:rsid w:val="008E6918"/>
    <w:rsid w:val="008F2D95"/>
    <w:rsid w:val="00900682"/>
    <w:rsid w:val="0090124D"/>
    <w:rsid w:val="00901BD4"/>
    <w:rsid w:val="009044FE"/>
    <w:rsid w:val="009150DF"/>
    <w:rsid w:val="00916902"/>
    <w:rsid w:val="00927BF6"/>
    <w:rsid w:val="00940DB3"/>
    <w:rsid w:val="009422BC"/>
    <w:rsid w:val="00956CBE"/>
    <w:rsid w:val="00971913"/>
    <w:rsid w:val="00983FC5"/>
    <w:rsid w:val="0098783B"/>
    <w:rsid w:val="00995B19"/>
    <w:rsid w:val="00996122"/>
    <w:rsid w:val="009A1070"/>
    <w:rsid w:val="009A7048"/>
    <w:rsid w:val="009B00FC"/>
    <w:rsid w:val="009E0009"/>
    <w:rsid w:val="009E048D"/>
    <w:rsid w:val="009F4B48"/>
    <w:rsid w:val="00A05A59"/>
    <w:rsid w:val="00A21B94"/>
    <w:rsid w:val="00A25D51"/>
    <w:rsid w:val="00A521F2"/>
    <w:rsid w:val="00A53996"/>
    <w:rsid w:val="00A54563"/>
    <w:rsid w:val="00A54958"/>
    <w:rsid w:val="00A5728E"/>
    <w:rsid w:val="00A61066"/>
    <w:rsid w:val="00AB789D"/>
    <w:rsid w:val="00AC7547"/>
    <w:rsid w:val="00AE02E8"/>
    <w:rsid w:val="00AE2B83"/>
    <w:rsid w:val="00B01056"/>
    <w:rsid w:val="00B24DAF"/>
    <w:rsid w:val="00B2661D"/>
    <w:rsid w:val="00B5561A"/>
    <w:rsid w:val="00B603F2"/>
    <w:rsid w:val="00B715B1"/>
    <w:rsid w:val="00B82896"/>
    <w:rsid w:val="00BC0E16"/>
    <w:rsid w:val="00BD0856"/>
    <w:rsid w:val="00BD1DAD"/>
    <w:rsid w:val="00BD6E0C"/>
    <w:rsid w:val="00BE2541"/>
    <w:rsid w:val="00BF31B6"/>
    <w:rsid w:val="00BF7B34"/>
    <w:rsid w:val="00C0122C"/>
    <w:rsid w:val="00C03BC1"/>
    <w:rsid w:val="00C05448"/>
    <w:rsid w:val="00C16734"/>
    <w:rsid w:val="00C3137E"/>
    <w:rsid w:val="00C31595"/>
    <w:rsid w:val="00C346E1"/>
    <w:rsid w:val="00C40C1C"/>
    <w:rsid w:val="00C55E77"/>
    <w:rsid w:val="00C62640"/>
    <w:rsid w:val="00C65C07"/>
    <w:rsid w:val="00C70A62"/>
    <w:rsid w:val="00C72C76"/>
    <w:rsid w:val="00C837D2"/>
    <w:rsid w:val="00C9156E"/>
    <w:rsid w:val="00C9680E"/>
    <w:rsid w:val="00CA0385"/>
    <w:rsid w:val="00CE4DC8"/>
    <w:rsid w:val="00CF12D3"/>
    <w:rsid w:val="00D021F1"/>
    <w:rsid w:val="00D26F62"/>
    <w:rsid w:val="00D450A5"/>
    <w:rsid w:val="00D610B9"/>
    <w:rsid w:val="00D667BA"/>
    <w:rsid w:val="00D83D76"/>
    <w:rsid w:val="00DB3EE6"/>
    <w:rsid w:val="00DD5074"/>
    <w:rsid w:val="00DF5A7A"/>
    <w:rsid w:val="00E04F39"/>
    <w:rsid w:val="00E31943"/>
    <w:rsid w:val="00E41D80"/>
    <w:rsid w:val="00E43AC6"/>
    <w:rsid w:val="00E44750"/>
    <w:rsid w:val="00E45DB6"/>
    <w:rsid w:val="00E554D4"/>
    <w:rsid w:val="00E55962"/>
    <w:rsid w:val="00E6406D"/>
    <w:rsid w:val="00E71EF7"/>
    <w:rsid w:val="00E72890"/>
    <w:rsid w:val="00E80926"/>
    <w:rsid w:val="00E85FEB"/>
    <w:rsid w:val="00E914B7"/>
    <w:rsid w:val="00E91A44"/>
    <w:rsid w:val="00E96FC5"/>
    <w:rsid w:val="00EA4ACA"/>
    <w:rsid w:val="00EA6249"/>
    <w:rsid w:val="00EB40B5"/>
    <w:rsid w:val="00EB4959"/>
    <w:rsid w:val="00EC2F6B"/>
    <w:rsid w:val="00ED774D"/>
    <w:rsid w:val="00EE0717"/>
    <w:rsid w:val="00EE2EE6"/>
    <w:rsid w:val="00EE3D6C"/>
    <w:rsid w:val="00EF377E"/>
    <w:rsid w:val="00EF6C55"/>
    <w:rsid w:val="00EF7C53"/>
    <w:rsid w:val="00F019A7"/>
    <w:rsid w:val="00F049CA"/>
    <w:rsid w:val="00F05DC6"/>
    <w:rsid w:val="00F10602"/>
    <w:rsid w:val="00F14082"/>
    <w:rsid w:val="00F21BE1"/>
    <w:rsid w:val="00F379A0"/>
    <w:rsid w:val="00F42424"/>
    <w:rsid w:val="00F67D4B"/>
    <w:rsid w:val="00F7275F"/>
    <w:rsid w:val="00F73203"/>
    <w:rsid w:val="00F862ED"/>
    <w:rsid w:val="00F86BDC"/>
    <w:rsid w:val="00F872A3"/>
    <w:rsid w:val="00F91E9D"/>
    <w:rsid w:val="00FE335A"/>
    <w:rsid w:val="00FE3BE3"/>
    <w:rsid w:val="00FE4574"/>
    <w:rsid w:val="00FE5B68"/>
    <w:rsid w:val="00FE6D9C"/>
    <w:rsid w:val="54F94C84"/>
    <w:rsid w:val="6A6B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B9A25-69D0-4F1B-B921-EACEB888A1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2088</Words>
  <Characters>11903</Characters>
  <Lines>99</Lines>
  <Paragraphs>27</Paragraphs>
  <TotalTime>1642</TotalTime>
  <ScaleCrop>false</ScaleCrop>
  <LinksUpToDate>false</LinksUpToDate>
  <CharactersWithSpaces>13964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2024-03-07T19:31:00Z</dcterms:created>
  <dc:creator>Dubravka Ranogajec</dc:creator>
  <cp:lastModifiedBy>Računovodstvo</cp:lastModifiedBy>
  <cp:lastPrinted>2026-07-29T07:41:54Z</cp:lastPrinted>
  <dcterms:modified xsi:type="dcterms:W3CDTF">2026-07-29T07:41:58Z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eyJoZGlkIjoiOGQ1NDE5NDI0ZTNlNWM5YTkzZTI5MDEzNzEzZTQyM2IifQ==</vt:lpwstr>
  </property>
  <property fmtid="{D5CDD505-2E9C-101B-9397-08002B2CF9AE}" pid="3" name="KSOProductBuildVer">
    <vt:lpwstr>1033-12.1.0.27458</vt:lpwstr>
  </property>
  <property fmtid="{D5CDD505-2E9C-101B-9397-08002B2CF9AE}" pid="4" name="ICV">
    <vt:lpwstr>C784DBE946034B21A06A16AA731F92D5_12</vt:lpwstr>
  </property>
</Properties>
</file>