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tblLook w:val="01E0" w:firstRow="1" w:lastRow="1" w:firstColumn="1" w:lastColumn="1" w:noHBand="0" w:noVBand="0"/>
      </w:tblPr>
      <w:tblGrid>
        <w:gridCol w:w="9760"/>
      </w:tblGrid>
      <w:tr w:rsidR="00834BB7" w:rsidTr="000C17EA">
        <w:tc>
          <w:tcPr>
            <w:tcW w:w="4124" w:type="dxa"/>
          </w:tcPr>
          <w:p w:rsidR="00834BB7" w:rsidRDefault="00834BB7" w:rsidP="00834BB7"/>
          <w:p w:rsidR="00834BB7" w:rsidRPr="00025AB7" w:rsidRDefault="00136257" w:rsidP="00C806D4">
            <w:pPr>
              <w:rPr>
                <w:b/>
              </w:rPr>
            </w:pPr>
            <w:r>
              <w:t xml:space="preserve"> </w:t>
            </w:r>
            <w:r w:rsidR="00251DAA" w:rsidRPr="00025AB7">
              <w:rPr>
                <w:b/>
              </w:rPr>
              <w:t>OSNOVNA ŠKOLA SIDE KOŠUTIĆ</w:t>
            </w:r>
          </w:p>
          <w:p w:rsidR="00251DAA" w:rsidRPr="00025AB7" w:rsidRDefault="00251DAA" w:rsidP="00C806D4">
            <w:pPr>
              <w:rPr>
                <w:b/>
              </w:rPr>
            </w:pPr>
            <w:r w:rsidRPr="00025AB7">
              <w:rPr>
                <w:b/>
              </w:rPr>
              <w:t xml:space="preserve">                 R A D O B O J</w:t>
            </w:r>
          </w:p>
          <w:p w:rsidR="00F670FE" w:rsidRDefault="00F670FE" w:rsidP="00C806D4"/>
          <w:p w:rsidR="00251DAA" w:rsidRDefault="00251DAA" w:rsidP="00C806D4">
            <w:r>
              <w:t>K</w:t>
            </w:r>
            <w:r w:rsidR="005C6B00">
              <w:t>LASA: 602-01/16-01/30</w:t>
            </w:r>
          </w:p>
          <w:p w:rsidR="00251DAA" w:rsidRDefault="00251DAA" w:rsidP="00C806D4">
            <w:r>
              <w:t>U</w:t>
            </w:r>
            <w:r w:rsidR="005C6B00">
              <w:t>RBROJ: 2140/04-380-25-16-01</w:t>
            </w:r>
          </w:p>
          <w:p w:rsidR="00251DAA" w:rsidRDefault="00251DAA" w:rsidP="00C806D4">
            <w:r>
              <w:t>Rad</w:t>
            </w:r>
            <w:r w:rsidR="005C6B00">
              <w:t>oboj, 26. 04. 2016.</w:t>
            </w:r>
          </w:p>
          <w:p w:rsidR="00251DAA" w:rsidRPr="00B87276" w:rsidRDefault="00251DAA" w:rsidP="00C806D4"/>
        </w:tc>
      </w:tr>
      <w:tr w:rsidR="00834BB7" w:rsidRPr="00476517" w:rsidTr="000C17EA">
        <w:trPr>
          <w:trHeight w:val="3089"/>
        </w:trPr>
        <w:tc>
          <w:tcPr>
            <w:tcW w:w="4124" w:type="dxa"/>
          </w:tcPr>
          <w:p w:rsidR="00B87276" w:rsidRDefault="009573D4" w:rsidP="000C17EA">
            <w:r w:rsidRPr="009573D4">
              <w:t xml:space="preserve">Temeljem članka </w:t>
            </w:r>
            <w:r w:rsidR="005C6B00">
              <w:t xml:space="preserve">72. </w:t>
            </w:r>
            <w:bookmarkStart w:id="0" w:name="_GoBack"/>
            <w:bookmarkEnd w:id="0"/>
            <w:r w:rsidR="008560B8">
              <w:t xml:space="preserve"> Statuta OŠ Side Košutić Radoboj</w:t>
            </w:r>
            <w:r>
              <w:t xml:space="preserve">, </w:t>
            </w:r>
            <w:r w:rsidR="008560B8">
              <w:t>(u daljnjem tekstu: Škola), ravnateljica Škole donosi slijedeću</w:t>
            </w:r>
          </w:p>
          <w:p w:rsidR="009573D4" w:rsidRDefault="009573D4" w:rsidP="000C17EA"/>
          <w:p w:rsidR="009573D4" w:rsidRDefault="009573D4" w:rsidP="009573D4">
            <w:pPr>
              <w:jc w:val="center"/>
              <w:rPr>
                <w:b/>
              </w:rPr>
            </w:pPr>
            <w:r>
              <w:rPr>
                <w:b/>
              </w:rPr>
              <w:t>Proceduru praćenja i naplate prihoda i primitaka</w:t>
            </w:r>
          </w:p>
          <w:p w:rsidR="009573D4" w:rsidRDefault="009573D4" w:rsidP="009573D4">
            <w:pPr>
              <w:jc w:val="center"/>
              <w:rPr>
                <w:b/>
              </w:rPr>
            </w:pPr>
          </w:p>
          <w:p w:rsidR="009573D4" w:rsidRDefault="009573D4" w:rsidP="009573D4">
            <w:pPr>
              <w:jc w:val="center"/>
            </w:pPr>
            <w:r>
              <w:t>Članak 1.</w:t>
            </w:r>
          </w:p>
          <w:p w:rsidR="009573D4" w:rsidRDefault="009573D4" w:rsidP="009573D4">
            <w:pPr>
              <w:jc w:val="center"/>
            </w:pPr>
          </w:p>
          <w:p w:rsidR="00884D11" w:rsidRDefault="00884D11" w:rsidP="00884D11">
            <w:r>
              <w:t>Ovim aktom utvrđuje se obveza pojedin</w:t>
            </w:r>
            <w:r w:rsidR="00251DAA">
              <w:t>ih službi OŠ Side Košutić</w:t>
            </w:r>
            <w:r>
              <w:t xml:space="preserve"> (u nastavku: Škola) te propisuje procedura, odnosno način i rokovi praćenja i naplate prihoda i primitaka Škole.</w:t>
            </w:r>
          </w:p>
          <w:p w:rsidR="00884D11" w:rsidRDefault="00884D11" w:rsidP="00884D11"/>
          <w:p w:rsidR="009C009D" w:rsidRDefault="00884D11" w:rsidP="00884D11">
            <w:r>
              <w:t>Prihodi koje Škola naplaćuje su vlastiti prihodi od zakupa prostora</w:t>
            </w:r>
            <w:r w:rsidR="009C009D">
              <w:t xml:space="preserve"> i prihodi za posebne namjene (školska kuhinja).</w:t>
            </w:r>
          </w:p>
          <w:p w:rsidR="009C009D" w:rsidRDefault="009C009D" w:rsidP="00884D11"/>
          <w:p w:rsidR="009C009D" w:rsidRDefault="009C009D" w:rsidP="00884D11">
            <w:r>
              <w:t>Ako škola ugovori zakup prostora vrijednosti većoj od 20.000,00 kn godišnje, s kupcem ugovara instrument osiguranja plaćanja.</w:t>
            </w:r>
          </w:p>
          <w:p w:rsidR="009C009D" w:rsidRDefault="009C009D" w:rsidP="00884D11"/>
          <w:p w:rsidR="009573D4" w:rsidRDefault="009C009D" w:rsidP="009C009D">
            <w:pPr>
              <w:jc w:val="center"/>
            </w:pPr>
            <w:r>
              <w:t>Članak 2.</w:t>
            </w:r>
          </w:p>
          <w:p w:rsidR="00D23A6F" w:rsidRDefault="00D23A6F" w:rsidP="009C009D">
            <w:pPr>
              <w:jc w:val="center"/>
            </w:pPr>
          </w:p>
          <w:p w:rsidR="00D23A6F" w:rsidRDefault="00D23A6F" w:rsidP="00D23A6F">
            <w:r>
              <w:t>Procedura iz članka1. izvodi se po sljedećem postupku, osim ako posebnim propisom nije drugačije određeno:</w:t>
            </w:r>
          </w:p>
          <w:p w:rsidR="004301C8" w:rsidRDefault="004301C8" w:rsidP="00D23A6F"/>
          <w:tbl>
            <w:tblPr>
              <w:tblStyle w:val="TableGrid"/>
              <w:tblW w:w="0" w:type="auto"/>
              <w:tblLook w:val="04A0" w:firstRow="1" w:lastRow="0" w:firstColumn="1" w:lastColumn="0" w:noHBand="0" w:noVBand="1"/>
            </w:tblPr>
            <w:tblGrid>
              <w:gridCol w:w="627"/>
              <w:gridCol w:w="3220"/>
              <w:gridCol w:w="1902"/>
              <w:gridCol w:w="1899"/>
              <w:gridCol w:w="1886"/>
            </w:tblGrid>
            <w:tr w:rsidR="006034F6" w:rsidTr="006034F6">
              <w:tc>
                <w:tcPr>
                  <w:tcW w:w="627" w:type="dxa"/>
                </w:tcPr>
                <w:p w:rsidR="005A25BE" w:rsidRDefault="005A25BE" w:rsidP="00D23A6F">
                  <w:r>
                    <w:t xml:space="preserve">Red. </w:t>
                  </w:r>
                </w:p>
                <w:p w:rsidR="005A25BE" w:rsidRDefault="005A25BE" w:rsidP="00D23A6F">
                  <w:r>
                    <w:t>br.</w:t>
                  </w:r>
                </w:p>
              </w:tc>
              <w:tc>
                <w:tcPr>
                  <w:tcW w:w="3220" w:type="dxa"/>
                </w:tcPr>
                <w:p w:rsidR="005A25BE" w:rsidRDefault="005A25BE" w:rsidP="00D23A6F"/>
                <w:p w:rsidR="00DA2048" w:rsidRDefault="00DA2048" w:rsidP="00DA2048">
                  <w:pPr>
                    <w:jc w:val="center"/>
                  </w:pPr>
                  <w:r>
                    <w:t>AKTIVNOST</w:t>
                  </w:r>
                </w:p>
              </w:tc>
              <w:tc>
                <w:tcPr>
                  <w:tcW w:w="1902" w:type="dxa"/>
                </w:tcPr>
                <w:p w:rsidR="005A25BE" w:rsidRDefault="005A25BE" w:rsidP="00D23A6F"/>
                <w:p w:rsidR="00DA2048" w:rsidRDefault="00DA2048" w:rsidP="00DA2048">
                  <w:pPr>
                    <w:jc w:val="center"/>
                  </w:pPr>
                  <w:r>
                    <w:t>NADLEŽNOST</w:t>
                  </w:r>
                </w:p>
              </w:tc>
              <w:tc>
                <w:tcPr>
                  <w:tcW w:w="1899" w:type="dxa"/>
                </w:tcPr>
                <w:p w:rsidR="005A25BE" w:rsidRDefault="005A25BE" w:rsidP="00D23A6F"/>
                <w:p w:rsidR="00DA2048" w:rsidRDefault="00DA2048" w:rsidP="00DA2048">
                  <w:pPr>
                    <w:jc w:val="center"/>
                  </w:pPr>
                  <w:r>
                    <w:t>DOKUMENT</w:t>
                  </w:r>
                </w:p>
              </w:tc>
              <w:tc>
                <w:tcPr>
                  <w:tcW w:w="1886" w:type="dxa"/>
                </w:tcPr>
                <w:p w:rsidR="005A25BE" w:rsidRDefault="005A25BE" w:rsidP="00D23A6F"/>
                <w:p w:rsidR="00DA2048" w:rsidRDefault="00DA2048" w:rsidP="00DA2048">
                  <w:pPr>
                    <w:jc w:val="center"/>
                  </w:pPr>
                  <w:r>
                    <w:t>ROK</w:t>
                  </w:r>
                </w:p>
              </w:tc>
            </w:tr>
            <w:tr w:rsidR="006034F6" w:rsidTr="006034F6">
              <w:tc>
                <w:tcPr>
                  <w:tcW w:w="627" w:type="dxa"/>
                </w:tcPr>
                <w:p w:rsidR="005A25BE" w:rsidRPr="006034F6" w:rsidRDefault="006034F6" w:rsidP="006034F6">
                  <w:pPr>
                    <w:jc w:val="center"/>
                    <w:rPr>
                      <w:sz w:val="18"/>
                      <w:szCs w:val="18"/>
                    </w:rPr>
                  </w:pPr>
                  <w:r w:rsidRPr="006034F6">
                    <w:rPr>
                      <w:sz w:val="18"/>
                      <w:szCs w:val="18"/>
                    </w:rPr>
                    <w:t>1</w:t>
                  </w:r>
                </w:p>
              </w:tc>
              <w:tc>
                <w:tcPr>
                  <w:tcW w:w="3220" w:type="dxa"/>
                </w:tcPr>
                <w:p w:rsidR="005A25BE" w:rsidRPr="006034F6" w:rsidRDefault="006034F6" w:rsidP="006034F6">
                  <w:pPr>
                    <w:jc w:val="center"/>
                    <w:rPr>
                      <w:sz w:val="18"/>
                      <w:szCs w:val="18"/>
                    </w:rPr>
                  </w:pPr>
                  <w:r w:rsidRPr="006034F6">
                    <w:rPr>
                      <w:sz w:val="18"/>
                      <w:szCs w:val="18"/>
                    </w:rPr>
                    <w:t>2</w:t>
                  </w:r>
                </w:p>
              </w:tc>
              <w:tc>
                <w:tcPr>
                  <w:tcW w:w="1902" w:type="dxa"/>
                </w:tcPr>
                <w:p w:rsidR="005A25BE" w:rsidRPr="006034F6" w:rsidRDefault="006034F6" w:rsidP="006034F6">
                  <w:pPr>
                    <w:jc w:val="center"/>
                    <w:rPr>
                      <w:sz w:val="18"/>
                      <w:szCs w:val="18"/>
                    </w:rPr>
                  </w:pPr>
                  <w:r w:rsidRPr="006034F6">
                    <w:rPr>
                      <w:sz w:val="18"/>
                      <w:szCs w:val="18"/>
                    </w:rPr>
                    <w:t>3</w:t>
                  </w:r>
                </w:p>
              </w:tc>
              <w:tc>
                <w:tcPr>
                  <w:tcW w:w="1899" w:type="dxa"/>
                </w:tcPr>
                <w:p w:rsidR="005A25BE" w:rsidRPr="006034F6" w:rsidRDefault="006034F6" w:rsidP="006034F6">
                  <w:pPr>
                    <w:jc w:val="center"/>
                    <w:rPr>
                      <w:sz w:val="18"/>
                      <w:szCs w:val="18"/>
                    </w:rPr>
                  </w:pPr>
                  <w:r w:rsidRPr="006034F6">
                    <w:rPr>
                      <w:sz w:val="18"/>
                      <w:szCs w:val="18"/>
                    </w:rPr>
                    <w:t>4</w:t>
                  </w:r>
                </w:p>
              </w:tc>
              <w:tc>
                <w:tcPr>
                  <w:tcW w:w="1886" w:type="dxa"/>
                </w:tcPr>
                <w:p w:rsidR="005A25BE" w:rsidRPr="006034F6" w:rsidRDefault="006034F6" w:rsidP="006034F6">
                  <w:pPr>
                    <w:jc w:val="center"/>
                    <w:rPr>
                      <w:sz w:val="18"/>
                      <w:szCs w:val="18"/>
                    </w:rPr>
                  </w:pPr>
                  <w:r w:rsidRPr="006034F6">
                    <w:rPr>
                      <w:sz w:val="18"/>
                      <w:szCs w:val="18"/>
                    </w:rPr>
                    <w:t>5</w:t>
                  </w:r>
                </w:p>
              </w:tc>
            </w:tr>
            <w:tr w:rsidR="006034F6" w:rsidTr="006034F6">
              <w:tc>
                <w:tcPr>
                  <w:tcW w:w="627" w:type="dxa"/>
                </w:tcPr>
                <w:p w:rsidR="005A25BE" w:rsidRDefault="00223549" w:rsidP="006034F6">
                  <w:pPr>
                    <w:jc w:val="center"/>
                  </w:pPr>
                  <w:r>
                    <w:t>1.</w:t>
                  </w:r>
                </w:p>
              </w:tc>
              <w:tc>
                <w:tcPr>
                  <w:tcW w:w="3220" w:type="dxa"/>
                </w:tcPr>
                <w:p w:rsidR="005A25BE" w:rsidRPr="00223549" w:rsidRDefault="00C806D4" w:rsidP="00BB0B2D">
                  <w:pPr>
                    <w:jc w:val="center"/>
                    <w:rPr>
                      <w:sz w:val="20"/>
                      <w:szCs w:val="20"/>
                    </w:rPr>
                  </w:pPr>
                  <w:r>
                    <w:rPr>
                      <w:sz w:val="20"/>
                      <w:szCs w:val="20"/>
                    </w:rPr>
                    <w:t>Dostava podataka Računovodstvu potrebnih za izdavanje računa</w:t>
                  </w:r>
                </w:p>
              </w:tc>
              <w:tc>
                <w:tcPr>
                  <w:tcW w:w="1902" w:type="dxa"/>
                </w:tcPr>
                <w:p w:rsidR="005A25BE" w:rsidRDefault="00C806D4" w:rsidP="00BB0B2D">
                  <w:pPr>
                    <w:jc w:val="center"/>
                    <w:rPr>
                      <w:sz w:val="20"/>
                      <w:szCs w:val="20"/>
                    </w:rPr>
                  </w:pPr>
                  <w:r>
                    <w:rPr>
                      <w:sz w:val="20"/>
                      <w:szCs w:val="20"/>
                    </w:rPr>
                    <w:t>Tajništvo</w:t>
                  </w:r>
                </w:p>
                <w:p w:rsidR="005B411E" w:rsidRPr="00223549" w:rsidRDefault="005B411E" w:rsidP="00BB0B2D">
                  <w:pPr>
                    <w:jc w:val="center"/>
                    <w:rPr>
                      <w:sz w:val="20"/>
                      <w:szCs w:val="20"/>
                    </w:rPr>
                  </w:pPr>
                  <w:r>
                    <w:rPr>
                      <w:sz w:val="20"/>
                      <w:szCs w:val="20"/>
                    </w:rPr>
                    <w:t>Razrednici</w:t>
                  </w:r>
                </w:p>
              </w:tc>
              <w:tc>
                <w:tcPr>
                  <w:tcW w:w="1899" w:type="dxa"/>
                </w:tcPr>
                <w:p w:rsidR="005A25BE" w:rsidRPr="00223549" w:rsidRDefault="00C806D4" w:rsidP="00BB0B2D">
                  <w:pPr>
                    <w:jc w:val="center"/>
                    <w:rPr>
                      <w:sz w:val="20"/>
                      <w:szCs w:val="20"/>
                    </w:rPr>
                  </w:pPr>
                  <w:r>
                    <w:rPr>
                      <w:sz w:val="20"/>
                      <w:szCs w:val="20"/>
                    </w:rPr>
                    <w:t>Ugovor, narudžbenica</w:t>
                  </w:r>
                </w:p>
              </w:tc>
              <w:tc>
                <w:tcPr>
                  <w:tcW w:w="1886" w:type="dxa"/>
                </w:tcPr>
                <w:p w:rsidR="005A25BE" w:rsidRPr="00223549" w:rsidRDefault="00C806D4" w:rsidP="00BB0B2D">
                  <w:pPr>
                    <w:jc w:val="center"/>
                    <w:rPr>
                      <w:sz w:val="20"/>
                      <w:szCs w:val="20"/>
                    </w:rPr>
                  </w:pPr>
                  <w:r>
                    <w:rPr>
                      <w:sz w:val="20"/>
                      <w:szCs w:val="20"/>
                    </w:rPr>
                    <w:t>Tijekom godine</w:t>
                  </w:r>
                </w:p>
              </w:tc>
            </w:tr>
            <w:tr w:rsidR="006034F6" w:rsidTr="006034F6">
              <w:tc>
                <w:tcPr>
                  <w:tcW w:w="627" w:type="dxa"/>
                </w:tcPr>
                <w:p w:rsidR="005A25BE" w:rsidRDefault="00C806D4" w:rsidP="006034F6">
                  <w:pPr>
                    <w:jc w:val="center"/>
                  </w:pPr>
                  <w:r>
                    <w:t>2.</w:t>
                  </w:r>
                </w:p>
              </w:tc>
              <w:tc>
                <w:tcPr>
                  <w:tcW w:w="3220" w:type="dxa"/>
                </w:tcPr>
                <w:p w:rsidR="005A25BE" w:rsidRPr="00223549" w:rsidRDefault="00C806D4" w:rsidP="00BB0B2D">
                  <w:pPr>
                    <w:jc w:val="center"/>
                    <w:rPr>
                      <w:sz w:val="20"/>
                      <w:szCs w:val="20"/>
                    </w:rPr>
                  </w:pPr>
                  <w:r>
                    <w:rPr>
                      <w:sz w:val="20"/>
                      <w:szCs w:val="20"/>
                    </w:rPr>
                    <w:t>Izdavanje/izrada računa</w:t>
                  </w:r>
                </w:p>
              </w:tc>
              <w:tc>
                <w:tcPr>
                  <w:tcW w:w="1902" w:type="dxa"/>
                </w:tcPr>
                <w:p w:rsidR="005A25BE" w:rsidRPr="00223549" w:rsidRDefault="00C806D4" w:rsidP="00BB0B2D">
                  <w:pPr>
                    <w:jc w:val="center"/>
                    <w:rPr>
                      <w:sz w:val="20"/>
                      <w:szCs w:val="20"/>
                    </w:rPr>
                  </w:pPr>
                  <w:r>
                    <w:rPr>
                      <w:sz w:val="20"/>
                      <w:szCs w:val="20"/>
                    </w:rPr>
                    <w:t>Računovodstvo</w:t>
                  </w:r>
                </w:p>
              </w:tc>
              <w:tc>
                <w:tcPr>
                  <w:tcW w:w="1899" w:type="dxa"/>
                </w:tcPr>
                <w:p w:rsidR="005A25BE" w:rsidRPr="00223549" w:rsidRDefault="00C806D4" w:rsidP="00BB0B2D">
                  <w:pPr>
                    <w:jc w:val="center"/>
                    <w:rPr>
                      <w:sz w:val="20"/>
                      <w:szCs w:val="20"/>
                    </w:rPr>
                  </w:pPr>
                  <w:r>
                    <w:rPr>
                      <w:sz w:val="20"/>
                      <w:szCs w:val="20"/>
                    </w:rPr>
                    <w:t>Račun</w:t>
                  </w:r>
                </w:p>
              </w:tc>
              <w:tc>
                <w:tcPr>
                  <w:tcW w:w="1886" w:type="dxa"/>
                </w:tcPr>
                <w:p w:rsidR="005A25BE" w:rsidRPr="00223549" w:rsidRDefault="00C806D4" w:rsidP="00BB0B2D">
                  <w:pPr>
                    <w:jc w:val="center"/>
                    <w:rPr>
                      <w:sz w:val="20"/>
                      <w:szCs w:val="20"/>
                    </w:rPr>
                  </w:pPr>
                  <w:r>
                    <w:rPr>
                      <w:sz w:val="20"/>
                      <w:szCs w:val="20"/>
                    </w:rPr>
                    <w:t>Tijekom godine</w:t>
                  </w:r>
                </w:p>
              </w:tc>
            </w:tr>
            <w:tr w:rsidR="006034F6" w:rsidTr="006034F6">
              <w:tc>
                <w:tcPr>
                  <w:tcW w:w="627" w:type="dxa"/>
                </w:tcPr>
                <w:p w:rsidR="005A25BE" w:rsidRDefault="00C806D4" w:rsidP="006034F6">
                  <w:pPr>
                    <w:jc w:val="center"/>
                  </w:pPr>
                  <w:r>
                    <w:t>3.</w:t>
                  </w:r>
                </w:p>
              </w:tc>
              <w:tc>
                <w:tcPr>
                  <w:tcW w:w="3220" w:type="dxa"/>
                </w:tcPr>
                <w:p w:rsidR="005A25BE" w:rsidRPr="00223549" w:rsidRDefault="00C806D4" w:rsidP="00BB0B2D">
                  <w:pPr>
                    <w:jc w:val="center"/>
                    <w:rPr>
                      <w:sz w:val="20"/>
                      <w:szCs w:val="20"/>
                    </w:rPr>
                  </w:pPr>
                  <w:r>
                    <w:rPr>
                      <w:sz w:val="20"/>
                      <w:szCs w:val="20"/>
                    </w:rPr>
                    <w:t>Ovjera i potpis računa</w:t>
                  </w:r>
                </w:p>
              </w:tc>
              <w:tc>
                <w:tcPr>
                  <w:tcW w:w="1902" w:type="dxa"/>
                </w:tcPr>
                <w:p w:rsidR="005A25BE" w:rsidRPr="00223549" w:rsidRDefault="00C806D4" w:rsidP="00BB0B2D">
                  <w:pPr>
                    <w:jc w:val="center"/>
                    <w:rPr>
                      <w:sz w:val="20"/>
                      <w:szCs w:val="20"/>
                    </w:rPr>
                  </w:pPr>
                  <w:r>
                    <w:rPr>
                      <w:sz w:val="20"/>
                      <w:szCs w:val="20"/>
                    </w:rPr>
                    <w:t>Ravnatelj</w:t>
                  </w:r>
                  <w:r w:rsidR="005B411E">
                    <w:rPr>
                      <w:sz w:val="20"/>
                      <w:szCs w:val="20"/>
                    </w:rPr>
                    <w:t>ica</w:t>
                  </w:r>
                </w:p>
              </w:tc>
              <w:tc>
                <w:tcPr>
                  <w:tcW w:w="1899" w:type="dxa"/>
                </w:tcPr>
                <w:p w:rsidR="005A25BE" w:rsidRPr="00223549" w:rsidRDefault="00C806D4" w:rsidP="00BB0B2D">
                  <w:pPr>
                    <w:jc w:val="center"/>
                    <w:rPr>
                      <w:sz w:val="20"/>
                      <w:szCs w:val="20"/>
                    </w:rPr>
                  </w:pPr>
                  <w:r>
                    <w:rPr>
                      <w:sz w:val="20"/>
                      <w:szCs w:val="20"/>
                    </w:rPr>
                    <w:t>Račun</w:t>
                  </w:r>
                </w:p>
              </w:tc>
              <w:tc>
                <w:tcPr>
                  <w:tcW w:w="1886" w:type="dxa"/>
                </w:tcPr>
                <w:p w:rsidR="005A25BE" w:rsidRPr="00223549" w:rsidRDefault="00C806D4" w:rsidP="00BB0B2D">
                  <w:pPr>
                    <w:jc w:val="center"/>
                    <w:rPr>
                      <w:sz w:val="20"/>
                      <w:szCs w:val="20"/>
                    </w:rPr>
                  </w:pPr>
                  <w:r>
                    <w:rPr>
                      <w:sz w:val="20"/>
                      <w:szCs w:val="20"/>
                    </w:rPr>
                    <w:t>2 dana od izrade računa</w:t>
                  </w:r>
                </w:p>
              </w:tc>
            </w:tr>
            <w:tr w:rsidR="006034F6" w:rsidTr="006034F6">
              <w:tc>
                <w:tcPr>
                  <w:tcW w:w="627" w:type="dxa"/>
                </w:tcPr>
                <w:p w:rsidR="005A25BE" w:rsidRDefault="00C806D4" w:rsidP="006034F6">
                  <w:pPr>
                    <w:jc w:val="center"/>
                  </w:pPr>
                  <w:r>
                    <w:t>4.</w:t>
                  </w:r>
                </w:p>
              </w:tc>
              <w:tc>
                <w:tcPr>
                  <w:tcW w:w="3220" w:type="dxa"/>
                </w:tcPr>
                <w:p w:rsidR="005A25BE" w:rsidRPr="00223549" w:rsidRDefault="00C806D4" w:rsidP="00BB0B2D">
                  <w:pPr>
                    <w:jc w:val="center"/>
                    <w:rPr>
                      <w:sz w:val="20"/>
                      <w:szCs w:val="20"/>
                    </w:rPr>
                  </w:pPr>
                  <w:r>
                    <w:rPr>
                      <w:sz w:val="20"/>
                      <w:szCs w:val="20"/>
                    </w:rPr>
                    <w:t>Slanje izlaznog računa</w:t>
                  </w:r>
                </w:p>
              </w:tc>
              <w:tc>
                <w:tcPr>
                  <w:tcW w:w="1902" w:type="dxa"/>
                </w:tcPr>
                <w:p w:rsidR="005A25BE" w:rsidRPr="00223549" w:rsidRDefault="00C806D4" w:rsidP="00BB0B2D">
                  <w:pPr>
                    <w:jc w:val="center"/>
                    <w:rPr>
                      <w:sz w:val="20"/>
                      <w:szCs w:val="20"/>
                    </w:rPr>
                  </w:pPr>
                  <w:r>
                    <w:rPr>
                      <w:sz w:val="20"/>
                      <w:szCs w:val="20"/>
                    </w:rPr>
                    <w:t>Tajništvo</w:t>
                  </w:r>
                </w:p>
              </w:tc>
              <w:tc>
                <w:tcPr>
                  <w:tcW w:w="1899" w:type="dxa"/>
                </w:tcPr>
                <w:p w:rsidR="005A25BE" w:rsidRPr="00223549" w:rsidRDefault="00C806D4" w:rsidP="00BB0B2D">
                  <w:pPr>
                    <w:jc w:val="center"/>
                    <w:rPr>
                      <w:sz w:val="20"/>
                      <w:szCs w:val="20"/>
                    </w:rPr>
                  </w:pPr>
                  <w:r>
                    <w:rPr>
                      <w:sz w:val="20"/>
                      <w:szCs w:val="20"/>
                    </w:rPr>
                    <w:t>Knjiga izlazne pošte</w:t>
                  </w:r>
                </w:p>
              </w:tc>
              <w:tc>
                <w:tcPr>
                  <w:tcW w:w="1886" w:type="dxa"/>
                </w:tcPr>
                <w:p w:rsidR="005A25BE" w:rsidRPr="00223549" w:rsidRDefault="00C806D4" w:rsidP="00BB0B2D">
                  <w:pPr>
                    <w:jc w:val="center"/>
                    <w:rPr>
                      <w:sz w:val="20"/>
                      <w:szCs w:val="20"/>
                    </w:rPr>
                  </w:pPr>
                  <w:r>
                    <w:rPr>
                      <w:sz w:val="20"/>
                      <w:szCs w:val="20"/>
                    </w:rPr>
                    <w:t>2 dana nakon ovjere</w:t>
                  </w:r>
                </w:p>
              </w:tc>
            </w:tr>
            <w:tr w:rsidR="006034F6" w:rsidTr="006034F6">
              <w:tc>
                <w:tcPr>
                  <w:tcW w:w="627" w:type="dxa"/>
                </w:tcPr>
                <w:p w:rsidR="005A25BE" w:rsidRDefault="00C806D4" w:rsidP="006034F6">
                  <w:pPr>
                    <w:jc w:val="center"/>
                  </w:pPr>
                  <w:r>
                    <w:t>5.</w:t>
                  </w:r>
                </w:p>
              </w:tc>
              <w:tc>
                <w:tcPr>
                  <w:tcW w:w="3220" w:type="dxa"/>
                </w:tcPr>
                <w:p w:rsidR="005A25BE" w:rsidRPr="00223549" w:rsidRDefault="00C806D4" w:rsidP="00BB0B2D">
                  <w:pPr>
                    <w:jc w:val="center"/>
                    <w:rPr>
                      <w:sz w:val="20"/>
                      <w:szCs w:val="20"/>
                    </w:rPr>
                  </w:pPr>
                  <w:r>
                    <w:rPr>
                      <w:sz w:val="20"/>
                      <w:szCs w:val="20"/>
                    </w:rPr>
                    <w:t>Unos podataka u sustav (knjiženje izlaznih računa)</w:t>
                  </w:r>
                </w:p>
              </w:tc>
              <w:tc>
                <w:tcPr>
                  <w:tcW w:w="1902" w:type="dxa"/>
                </w:tcPr>
                <w:p w:rsidR="005A25BE" w:rsidRDefault="005A25BE" w:rsidP="00BB0B2D">
                  <w:pPr>
                    <w:jc w:val="center"/>
                    <w:rPr>
                      <w:sz w:val="20"/>
                      <w:szCs w:val="20"/>
                    </w:rPr>
                  </w:pPr>
                </w:p>
                <w:p w:rsidR="00C806D4" w:rsidRPr="00223549" w:rsidRDefault="00C806D4" w:rsidP="00BB0B2D">
                  <w:pPr>
                    <w:jc w:val="center"/>
                    <w:rPr>
                      <w:sz w:val="20"/>
                      <w:szCs w:val="20"/>
                    </w:rPr>
                  </w:pPr>
                  <w:r>
                    <w:rPr>
                      <w:sz w:val="20"/>
                      <w:szCs w:val="20"/>
                    </w:rPr>
                    <w:t>Računovodstvo</w:t>
                  </w:r>
                </w:p>
              </w:tc>
              <w:tc>
                <w:tcPr>
                  <w:tcW w:w="1899" w:type="dxa"/>
                </w:tcPr>
                <w:p w:rsidR="005A25BE" w:rsidRPr="00223549" w:rsidRDefault="00C806D4" w:rsidP="00BB0B2D">
                  <w:pPr>
                    <w:jc w:val="center"/>
                    <w:rPr>
                      <w:sz w:val="20"/>
                      <w:szCs w:val="20"/>
                    </w:rPr>
                  </w:pPr>
                  <w:r>
                    <w:rPr>
                      <w:sz w:val="20"/>
                      <w:szCs w:val="20"/>
                    </w:rPr>
                    <w:t>Knjiga izlaznih računa, Glavna knjiga</w:t>
                  </w:r>
                </w:p>
              </w:tc>
              <w:tc>
                <w:tcPr>
                  <w:tcW w:w="1886" w:type="dxa"/>
                </w:tcPr>
                <w:p w:rsidR="005A25BE" w:rsidRPr="00223549" w:rsidRDefault="00C806D4" w:rsidP="00BB0B2D">
                  <w:pPr>
                    <w:jc w:val="center"/>
                    <w:rPr>
                      <w:sz w:val="20"/>
                      <w:szCs w:val="20"/>
                    </w:rPr>
                  </w:pPr>
                  <w:r>
                    <w:rPr>
                      <w:sz w:val="20"/>
                      <w:szCs w:val="20"/>
                    </w:rPr>
                    <w:t>Unutar mjeseca na koji se račun odnosi</w:t>
                  </w:r>
                </w:p>
              </w:tc>
            </w:tr>
            <w:tr w:rsidR="006034F6" w:rsidTr="006034F6">
              <w:tc>
                <w:tcPr>
                  <w:tcW w:w="627" w:type="dxa"/>
                </w:tcPr>
                <w:p w:rsidR="005A25BE" w:rsidRDefault="00C806D4" w:rsidP="006034F6">
                  <w:pPr>
                    <w:jc w:val="center"/>
                  </w:pPr>
                  <w:r>
                    <w:t>6.</w:t>
                  </w:r>
                </w:p>
              </w:tc>
              <w:tc>
                <w:tcPr>
                  <w:tcW w:w="3220" w:type="dxa"/>
                </w:tcPr>
                <w:p w:rsidR="005A25BE" w:rsidRPr="00223549" w:rsidRDefault="00F7496B" w:rsidP="00BB0B2D">
                  <w:pPr>
                    <w:jc w:val="center"/>
                    <w:rPr>
                      <w:sz w:val="20"/>
                      <w:szCs w:val="20"/>
                    </w:rPr>
                  </w:pPr>
                  <w:r>
                    <w:rPr>
                      <w:sz w:val="20"/>
                      <w:szCs w:val="20"/>
                    </w:rPr>
                    <w:t>Evidentiranje naplaćenih prihoda</w:t>
                  </w:r>
                </w:p>
              </w:tc>
              <w:tc>
                <w:tcPr>
                  <w:tcW w:w="1902" w:type="dxa"/>
                </w:tcPr>
                <w:p w:rsidR="00BB0B2D" w:rsidRDefault="00BB0B2D" w:rsidP="00BB0B2D">
                  <w:pPr>
                    <w:jc w:val="center"/>
                    <w:rPr>
                      <w:sz w:val="20"/>
                      <w:szCs w:val="20"/>
                    </w:rPr>
                  </w:pPr>
                </w:p>
                <w:p w:rsidR="005A25BE" w:rsidRPr="00223549" w:rsidRDefault="00F7496B" w:rsidP="00BB0B2D">
                  <w:pPr>
                    <w:jc w:val="center"/>
                    <w:rPr>
                      <w:sz w:val="20"/>
                      <w:szCs w:val="20"/>
                    </w:rPr>
                  </w:pPr>
                  <w:r>
                    <w:rPr>
                      <w:sz w:val="20"/>
                      <w:szCs w:val="20"/>
                    </w:rPr>
                    <w:t>Računovodstvo</w:t>
                  </w:r>
                </w:p>
              </w:tc>
              <w:tc>
                <w:tcPr>
                  <w:tcW w:w="1899" w:type="dxa"/>
                </w:tcPr>
                <w:p w:rsidR="005A25BE" w:rsidRPr="00223549" w:rsidRDefault="008560B8" w:rsidP="00BB0B2D">
                  <w:pPr>
                    <w:jc w:val="center"/>
                    <w:rPr>
                      <w:sz w:val="20"/>
                      <w:szCs w:val="20"/>
                    </w:rPr>
                  </w:pPr>
                  <w:r>
                    <w:rPr>
                      <w:sz w:val="20"/>
                      <w:szCs w:val="20"/>
                    </w:rPr>
                    <w:t>Knjiga izlaznih</w:t>
                  </w:r>
                  <w:r w:rsidR="00F7496B">
                    <w:rPr>
                      <w:sz w:val="20"/>
                      <w:szCs w:val="20"/>
                    </w:rPr>
                    <w:t xml:space="preserve"> računa, Glavna knjiga</w:t>
                  </w:r>
                </w:p>
              </w:tc>
              <w:tc>
                <w:tcPr>
                  <w:tcW w:w="1886" w:type="dxa"/>
                </w:tcPr>
                <w:p w:rsidR="005A25BE" w:rsidRPr="00223549" w:rsidRDefault="00F7496B" w:rsidP="00BB0B2D">
                  <w:pPr>
                    <w:jc w:val="center"/>
                    <w:rPr>
                      <w:sz w:val="20"/>
                      <w:szCs w:val="20"/>
                    </w:rPr>
                  </w:pPr>
                  <w:r>
                    <w:rPr>
                      <w:sz w:val="20"/>
                      <w:szCs w:val="20"/>
                    </w:rPr>
                    <w:t>Tjedno</w:t>
                  </w:r>
                </w:p>
              </w:tc>
            </w:tr>
            <w:tr w:rsidR="006034F6" w:rsidTr="006034F6">
              <w:tc>
                <w:tcPr>
                  <w:tcW w:w="627" w:type="dxa"/>
                </w:tcPr>
                <w:p w:rsidR="005A25BE" w:rsidRDefault="00F7496B" w:rsidP="006034F6">
                  <w:pPr>
                    <w:jc w:val="center"/>
                  </w:pPr>
                  <w:r>
                    <w:t>7.</w:t>
                  </w:r>
                </w:p>
              </w:tc>
              <w:tc>
                <w:tcPr>
                  <w:tcW w:w="3220" w:type="dxa"/>
                </w:tcPr>
                <w:p w:rsidR="005A25BE" w:rsidRPr="00223549" w:rsidRDefault="00F7496B" w:rsidP="00BB0B2D">
                  <w:pPr>
                    <w:jc w:val="center"/>
                    <w:rPr>
                      <w:sz w:val="20"/>
                      <w:szCs w:val="20"/>
                    </w:rPr>
                  </w:pPr>
                  <w:r>
                    <w:rPr>
                      <w:sz w:val="20"/>
                      <w:szCs w:val="20"/>
                    </w:rPr>
                    <w:t>Praćenje naplate prihoda (analitika)</w:t>
                  </w:r>
                </w:p>
              </w:tc>
              <w:tc>
                <w:tcPr>
                  <w:tcW w:w="1902" w:type="dxa"/>
                </w:tcPr>
                <w:p w:rsidR="00BB0B2D" w:rsidRDefault="00BB0B2D" w:rsidP="00BB0B2D">
                  <w:pPr>
                    <w:jc w:val="center"/>
                    <w:rPr>
                      <w:sz w:val="20"/>
                      <w:szCs w:val="20"/>
                    </w:rPr>
                  </w:pPr>
                </w:p>
                <w:p w:rsidR="008560B8" w:rsidRDefault="00F7496B" w:rsidP="00BB0B2D">
                  <w:pPr>
                    <w:jc w:val="center"/>
                    <w:rPr>
                      <w:sz w:val="20"/>
                      <w:szCs w:val="20"/>
                    </w:rPr>
                  </w:pPr>
                  <w:r>
                    <w:rPr>
                      <w:sz w:val="20"/>
                      <w:szCs w:val="20"/>
                    </w:rPr>
                    <w:t>Računovodstvo</w:t>
                  </w:r>
                </w:p>
                <w:p w:rsidR="008560B8" w:rsidRPr="00223549" w:rsidRDefault="008560B8" w:rsidP="00BB0B2D">
                  <w:pPr>
                    <w:jc w:val="center"/>
                    <w:rPr>
                      <w:sz w:val="20"/>
                      <w:szCs w:val="20"/>
                    </w:rPr>
                  </w:pPr>
                  <w:r>
                    <w:rPr>
                      <w:sz w:val="20"/>
                      <w:szCs w:val="20"/>
                    </w:rPr>
                    <w:t>Razrednici</w:t>
                  </w:r>
                </w:p>
              </w:tc>
              <w:tc>
                <w:tcPr>
                  <w:tcW w:w="1899" w:type="dxa"/>
                </w:tcPr>
                <w:p w:rsidR="005A25BE" w:rsidRDefault="00F7496B" w:rsidP="008560B8">
                  <w:pPr>
                    <w:jc w:val="center"/>
                    <w:rPr>
                      <w:sz w:val="20"/>
                      <w:szCs w:val="20"/>
                    </w:rPr>
                  </w:pPr>
                  <w:r>
                    <w:rPr>
                      <w:sz w:val="20"/>
                      <w:szCs w:val="20"/>
                    </w:rPr>
                    <w:t>Izvadak po poslovnom računu</w:t>
                  </w:r>
                </w:p>
                <w:p w:rsidR="008560B8" w:rsidRPr="00223549" w:rsidRDefault="008560B8" w:rsidP="008560B8">
                  <w:pPr>
                    <w:jc w:val="center"/>
                    <w:rPr>
                      <w:sz w:val="20"/>
                      <w:szCs w:val="20"/>
                    </w:rPr>
                  </w:pPr>
                  <w:r>
                    <w:rPr>
                      <w:sz w:val="20"/>
                      <w:szCs w:val="20"/>
                    </w:rPr>
                    <w:t>Primjerak uplatnice</w:t>
                  </w:r>
                </w:p>
              </w:tc>
              <w:tc>
                <w:tcPr>
                  <w:tcW w:w="1886" w:type="dxa"/>
                </w:tcPr>
                <w:p w:rsidR="005A25BE" w:rsidRPr="00223549" w:rsidRDefault="00F7496B" w:rsidP="00BB0B2D">
                  <w:pPr>
                    <w:jc w:val="center"/>
                    <w:rPr>
                      <w:sz w:val="20"/>
                      <w:szCs w:val="20"/>
                    </w:rPr>
                  </w:pPr>
                  <w:r>
                    <w:rPr>
                      <w:sz w:val="20"/>
                      <w:szCs w:val="20"/>
                    </w:rPr>
                    <w:t>Tjedno</w:t>
                  </w:r>
                </w:p>
              </w:tc>
            </w:tr>
            <w:tr w:rsidR="006034F6" w:rsidTr="006034F6">
              <w:tc>
                <w:tcPr>
                  <w:tcW w:w="627" w:type="dxa"/>
                </w:tcPr>
                <w:p w:rsidR="005A25BE" w:rsidRDefault="004C6509" w:rsidP="006034F6">
                  <w:pPr>
                    <w:jc w:val="center"/>
                  </w:pPr>
                  <w:r>
                    <w:t>8.</w:t>
                  </w:r>
                </w:p>
              </w:tc>
              <w:tc>
                <w:tcPr>
                  <w:tcW w:w="3220" w:type="dxa"/>
                </w:tcPr>
                <w:p w:rsidR="005A25BE" w:rsidRPr="00223549" w:rsidRDefault="004C6509" w:rsidP="00BB0B2D">
                  <w:pPr>
                    <w:jc w:val="center"/>
                    <w:rPr>
                      <w:sz w:val="20"/>
                      <w:szCs w:val="20"/>
                    </w:rPr>
                  </w:pPr>
                  <w:r>
                    <w:rPr>
                      <w:sz w:val="20"/>
                      <w:szCs w:val="20"/>
                    </w:rPr>
                    <w:t>Utvrđivanje stanja dospjelih i nenaplaćenih potraživanja/prihoda</w:t>
                  </w:r>
                </w:p>
              </w:tc>
              <w:tc>
                <w:tcPr>
                  <w:tcW w:w="1902" w:type="dxa"/>
                </w:tcPr>
                <w:p w:rsidR="005A25BE" w:rsidRPr="00223549" w:rsidRDefault="004C6509" w:rsidP="00BB0B2D">
                  <w:pPr>
                    <w:jc w:val="center"/>
                    <w:rPr>
                      <w:sz w:val="20"/>
                      <w:szCs w:val="20"/>
                    </w:rPr>
                  </w:pPr>
                  <w:r>
                    <w:rPr>
                      <w:sz w:val="20"/>
                      <w:szCs w:val="20"/>
                    </w:rPr>
                    <w:t>Računovodstvo</w:t>
                  </w:r>
                </w:p>
              </w:tc>
              <w:tc>
                <w:tcPr>
                  <w:tcW w:w="1899" w:type="dxa"/>
                </w:tcPr>
                <w:p w:rsidR="005A25BE" w:rsidRPr="00223549" w:rsidRDefault="004C6509" w:rsidP="00BB0B2D">
                  <w:pPr>
                    <w:jc w:val="center"/>
                    <w:rPr>
                      <w:sz w:val="20"/>
                      <w:szCs w:val="20"/>
                    </w:rPr>
                  </w:pPr>
                  <w:r>
                    <w:rPr>
                      <w:sz w:val="20"/>
                      <w:szCs w:val="20"/>
                    </w:rPr>
                    <w:t>Izvod otvorenih stavaka</w:t>
                  </w:r>
                </w:p>
              </w:tc>
              <w:tc>
                <w:tcPr>
                  <w:tcW w:w="1886" w:type="dxa"/>
                </w:tcPr>
                <w:p w:rsidR="005A25BE" w:rsidRPr="00223549" w:rsidRDefault="004C6509" w:rsidP="00BB0B2D">
                  <w:pPr>
                    <w:jc w:val="center"/>
                    <w:rPr>
                      <w:sz w:val="20"/>
                      <w:szCs w:val="20"/>
                    </w:rPr>
                  </w:pPr>
                  <w:r>
                    <w:rPr>
                      <w:sz w:val="20"/>
                      <w:szCs w:val="20"/>
                    </w:rPr>
                    <w:t>Mjesečno</w:t>
                  </w:r>
                </w:p>
              </w:tc>
            </w:tr>
            <w:tr w:rsidR="006034F6" w:rsidTr="006034F6">
              <w:tc>
                <w:tcPr>
                  <w:tcW w:w="627" w:type="dxa"/>
                </w:tcPr>
                <w:p w:rsidR="005A25BE" w:rsidRDefault="004C6509" w:rsidP="006034F6">
                  <w:pPr>
                    <w:jc w:val="center"/>
                  </w:pPr>
                  <w:r>
                    <w:t>9.</w:t>
                  </w:r>
                </w:p>
              </w:tc>
              <w:tc>
                <w:tcPr>
                  <w:tcW w:w="3220" w:type="dxa"/>
                </w:tcPr>
                <w:p w:rsidR="005A25BE" w:rsidRPr="00223549" w:rsidRDefault="00642FBD" w:rsidP="00BB0B2D">
                  <w:pPr>
                    <w:jc w:val="center"/>
                    <w:rPr>
                      <w:sz w:val="20"/>
                      <w:szCs w:val="20"/>
                    </w:rPr>
                  </w:pPr>
                  <w:r>
                    <w:rPr>
                      <w:sz w:val="20"/>
                      <w:szCs w:val="20"/>
                    </w:rPr>
                    <w:t>Upozoravanje i izdavanje opomena i opomena pred tužbu</w:t>
                  </w:r>
                </w:p>
              </w:tc>
              <w:tc>
                <w:tcPr>
                  <w:tcW w:w="1902" w:type="dxa"/>
                </w:tcPr>
                <w:p w:rsidR="005B411E" w:rsidRDefault="005B411E" w:rsidP="00BB0B2D">
                  <w:pPr>
                    <w:jc w:val="center"/>
                    <w:rPr>
                      <w:sz w:val="20"/>
                      <w:szCs w:val="20"/>
                    </w:rPr>
                  </w:pPr>
                  <w:r>
                    <w:rPr>
                      <w:sz w:val="20"/>
                      <w:szCs w:val="20"/>
                    </w:rPr>
                    <w:t>Ravnateljica</w:t>
                  </w:r>
                </w:p>
                <w:p w:rsidR="005A25BE" w:rsidRDefault="00642FBD" w:rsidP="00BB0B2D">
                  <w:pPr>
                    <w:jc w:val="center"/>
                    <w:rPr>
                      <w:sz w:val="20"/>
                      <w:szCs w:val="20"/>
                    </w:rPr>
                  </w:pPr>
                  <w:r>
                    <w:rPr>
                      <w:sz w:val="20"/>
                      <w:szCs w:val="20"/>
                    </w:rPr>
                    <w:t>Računovodstvo</w:t>
                  </w:r>
                </w:p>
                <w:p w:rsidR="008560B8" w:rsidRPr="00223549" w:rsidRDefault="008560B8" w:rsidP="00BB0B2D">
                  <w:pPr>
                    <w:jc w:val="center"/>
                    <w:rPr>
                      <w:sz w:val="20"/>
                      <w:szCs w:val="20"/>
                    </w:rPr>
                  </w:pPr>
                  <w:r>
                    <w:rPr>
                      <w:sz w:val="20"/>
                      <w:szCs w:val="20"/>
                    </w:rPr>
                    <w:t>Tajništvo</w:t>
                  </w:r>
                </w:p>
              </w:tc>
              <w:tc>
                <w:tcPr>
                  <w:tcW w:w="1899" w:type="dxa"/>
                </w:tcPr>
                <w:p w:rsidR="005A25BE" w:rsidRPr="00223549" w:rsidRDefault="00642FBD" w:rsidP="00BB0B2D">
                  <w:pPr>
                    <w:jc w:val="center"/>
                    <w:rPr>
                      <w:sz w:val="20"/>
                      <w:szCs w:val="20"/>
                    </w:rPr>
                  </w:pPr>
                  <w:r>
                    <w:rPr>
                      <w:sz w:val="20"/>
                      <w:szCs w:val="20"/>
                    </w:rPr>
                    <w:t>Opomene i opomene pred tužbu</w:t>
                  </w:r>
                </w:p>
              </w:tc>
              <w:tc>
                <w:tcPr>
                  <w:tcW w:w="1886" w:type="dxa"/>
                </w:tcPr>
                <w:p w:rsidR="005A25BE" w:rsidRPr="00223549" w:rsidRDefault="00642FBD" w:rsidP="00BB0B2D">
                  <w:pPr>
                    <w:jc w:val="center"/>
                    <w:rPr>
                      <w:sz w:val="20"/>
                      <w:szCs w:val="20"/>
                    </w:rPr>
                  </w:pPr>
                  <w:r>
                    <w:rPr>
                      <w:sz w:val="20"/>
                      <w:szCs w:val="20"/>
                    </w:rPr>
                    <w:t>Tijekom godine</w:t>
                  </w:r>
                </w:p>
              </w:tc>
            </w:tr>
            <w:tr w:rsidR="006034F6" w:rsidRPr="005B411E" w:rsidTr="006034F6">
              <w:tc>
                <w:tcPr>
                  <w:tcW w:w="627" w:type="dxa"/>
                </w:tcPr>
                <w:p w:rsidR="005A25BE" w:rsidRPr="005B411E" w:rsidRDefault="00642FBD" w:rsidP="00D23A6F">
                  <w:pPr>
                    <w:rPr>
                      <w:sz w:val="20"/>
                      <w:szCs w:val="20"/>
                    </w:rPr>
                  </w:pPr>
                  <w:r w:rsidRPr="005B411E">
                    <w:rPr>
                      <w:sz w:val="20"/>
                      <w:szCs w:val="20"/>
                    </w:rPr>
                    <w:t>10.</w:t>
                  </w:r>
                </w:p>
              </w:tc>
              <w:tc>
                <w:tcPr>
                  <w:tcW w:w="3220" w:type="dxa"/>
                </w:tcPr>
                <w:p w:rsidR="005A25BE" w:rsidRPr="005B411E" w:rsidRDefault="00CD6FAB" w:rsidP="00BB0B2D">
                  <w:pPr>
                    <w:jc w:val="center"/>
                    <w:rPr>
                      <w:sz w:val="20"/>
                      <w:szCs w:val="20"/>
                    </w:rPr>
                  </w:pPr>
                  <w:r w:rsidRPr="005B411E">
                    <w:rPr>
                      <w:sz w:val="20"/>
                      <w:szCs w:val="20"/>
                    </w:rPr>
                    <w:t>Donošenje odluke o prisilnoj naplati potraživanja</w:t>
                  </w:r>
                </w:p>
              </w:tc>
              <w:tc>
                <w:tcPr>
                  <w:tcW w:w="1902" w:type="dxa"/>
                </w:tcPr>
                <w:p w:rsidR="00BB0B2D" w:rsidRPr="005B411E" w:rsidRDefault="00BB0B2D" w:rsidP="00BB0B2D">
                  <w:pPr>
                    <w:jc w:val="center"/>
                    <w:rPr>
                      <w:sz w:val="20"/>
                      <w:szCs w:val="20"/>
                    </w:rPr>
                  </w:pPr>
                </w:p>
                <w:p w:rsidR="005A25BE" w:rsidRPr="005B411E" w:rsidRDefault="00CD6FAB" w:rsidP="00BB0B2D">
                  <w:pPr>
                    <w:jc w:val="center"/>
                    <w:rPr>
                      <w:sz w:val="20"/>
                      <w:szCs w:val="20"/>
                    </w:rPr>
                  </w:pPr>
                  <w:r w:rsidRPr="005B411E">
                    <w:rPr>
                      <w:sz w:val="20"/>
                      <w:szCs w:val="20"/>
                    </w:rPr>
                    <w:t>Ravnatelj</w:t>
                  </w:r>
                  <w:r w:rsidR="005B411E" w:rsidRPr="005B411E">
                    <w:rPr>
                      <w:sz w:val="20"/>
                      <w:szCs w:val="20"/>
                    </w:rPr>
                    <w:t>ica</w:t>
                  </w:r>
                </w:p>
              </w:tc>
              <w:tc>
                <w:tcPr>
                  <w:tcW w:w="1899" w:type="dxa"/>
                </w:tcPr>
                <w:p w:rsidR="005A25BE" w:rsidRPr="005B411E" w:rsidRDefault="00CD6FAB" w:rsidP="00BB0B2D">
                  <w:pPr>
                    <w:jc w:val="center"/>
                    <w:rPr>
                      <w:sz w:val="20"/>
                      <w:szCs w:val="20"/>
                    </w:rPr>
                  </w:pPr>
                  <w:r w:rsidRPr="005B411E">
                    <w:rPr>
                      <w:sz w:val="20"/>
                      <w:szCs w:val="20"/>
                    </w:rPr>
                    <w:t>Odluka o prisilnoj naplati potraživanja</w:t>
                  </w:r>
                </w:p>
              </w:tc>
              <w:tc>
                <w:tcPr>
                  <w:tcW w:w="1886" w:type="dxa"/>
                </w:tcPr>
                <w:p w:rsidR="005A25BE" w:rsidRPr="005B411E" w:rsidRDefault="00CD6FAB" w:rsidP="00BB0B2D">
                  <w:pPr>
                    <w:jc w:val="center"/>
                    <w:rPr>
                      <w:sz w:val="20"/>
                      <w:szCs w:val="20"/>
                    </w:rPr>
                  </w:pPr>
                  <w:r w:rsidRPr="005B411E">
                    <w:rPr>
                      <w:sz w:val="20"/>
                      <w:szCs w:val="20"/>
                    </w:rPr>
                    <w:t>Tijekom godine</w:t>
                  </w:r>
                </w:p>
              </w:tc>
            </w:tr>
            <w:tr w:rsidR="006034F6" w:rsidRPr="005B411E" w:rsidTr="006034F6">
              <w:tc>
                <w:tcPr>
                  <w:tcW w:w="627" w:type="dxa"/>
                </w:tcPr>
                <w:p w:rsidR="005A25BE" w:rsidRPr="005B411E" w:rsidRDefault="00CD6FAB" w:rsidP="00D23A6F">
                  <w:pPr>
                    <w:rPr>
                      <w:sz w:val="20"/>
                      <w:szCs w:val="20"/>
                    </w:rPr>
                  </w:pPr>
                  <w:r w:rsidRPr="005B411E">
                    <w:rPr>
                      <w:sz w:val="20"/>
                      <w:szCs w:val="20"/>
                    </w:rPr>
                    <w:t>11.</w:t>
                  </w:r>
                </w:p>
              </w:tc>
              <w:tc>
                <w:tcPr>
                  <w:tcW w:w="3220" w:type="dxa"/>
                </w:tcPr>
                <w:p w:rsidR="005A25BE" w:rsidRPr="005B411E" w:rsidRDefault="00417551" w:rsidP="00BB0B2D">
                  <w:pPr>
                    <w:jc w:val="center"/>
                    <w:rPr>
                      <w:sz w:val="20"/>
                      <w:szCs w:val="20"/>
                    </w:rPr>
                  </w:pPr>
                  <w:r w:rsidRPr="005B411E">
                    <w:rPr>
                      <w:sz w:val="20"/>
                      <w:szCs w:val="20"/>
                    </w:rPr>
                    <w:t>Ovrha- prisilna naplata potraživanja u skladu s Ovršnim zakonom</w:t>
                  </w:r>
                </w:p>
              </w:tc>
              <w:tc>
                <w:tcPr>
                  <w:tcW w:w="1902" w:type="dxa"/>
                </w:tcPr>
                <w:p w:rsidR="005A25BE" w:rsidRPr="005B411E" w:rsidRDefault="005A25BE" w:rsidP="00BB0B2D">
                  <w:pPr>
                    <w:jc w:val="center"/>
                    <w:rPr>
                      <w:sz w:val="20"/>
                      <w:szCs w:val="20"/>
                    </w:rPr>
                  </w:pPr>
                </w:p>
                <w:p w:rsidR="00417551" w:rsidRPr="005B411E" w:rsidRDefault="00417551" w:rsidP="00BB0B2D">
                  <w:pPr>
                    <w:jc w:val="center"/>
                    <w:rPr>
                      <w:sz w:val="20"/>
                      <w:szCs w:val="20"/>
                    </w:rPr>
                  </w:pPr>
                  <w:r w:rsidRPr="005B411E">
                    <w:rPr>
                      <w:sz w:val="20"/>
                      <w:szCs w:val="20"/>
                    </w:rPr>
                    <w:t>Tajništvo</w:t>
                  </w:r>
                </w:p>
              </w:tc>
              <w:tc>
                <w:tcPr>
                  <w:tcW w:w="1899" w:type="dxa"/>
                </w:tcPr>
                <w:p w:rsidR="005A25BE" w:rsidRPr="005B411E" w:rsidRDefault="00417551" w:rsidP="00BB0B2D">
                  <w:pPr>
                    <w:jc w:val="center"/>
                    <w:rPr>
                      <w:sz w:val="20"/>
                      <w:szCs w:val="20"/>
                    </w:rPr>
                  </w:pPr>
                  <w:r w:rsidRPr="005B411E">
                    <w:rPr>
                      <w:sz w:val="20"/>
                      <w:szCs w:val="20"/>
                    </w:rPr>
                    <w:t>Ovršni postupak kod javnog bilježnika</w:t>
                  </w:r>
                </w:p>
              </w:tc>
              <w:tc>
                <w:tcPr>
                  <w:tcW w:w="1886" w:type="dxa"/>
                </w:tcPr>
                <w:p w:rsidR="005A25BE" w:rsidRPr="005B411E" w:rsidRDefault="00417551" w:rsidP="00BB0B2D">
                  <w:pPr>
                    <w:jc w:val="center"/>
                    <w:rPr>
                      <w:sz w:val="20"/>
                      <w:szCs w:val="20"/>
                    </w:rPr>
                  </w:pPr>
                  <w:r w:rsidRPr="005B411E">
                    <w:rPr>
                      <w:sz w:val="20"/>
                      <w:szCs w:val="20"/>
                    </w:rPr>
                    <w:t>15 dana nakon donošenja Odluke</w:t>
                  </w:r>
                </w:p>
              </w:tc>
            </w:tr>
          </w:tbl>
          <w:p w:rsidR="004301C8" w:rsidRPr="009573D4" w:rsidRDefault="004301C8" w:rsidP="00D23A6F"/>
        </w:tc>
      </w:tr>
    </w:tbl>
    <w:p w:rsidR="00752146" w:rsidRDefault="005C6B00"/>
    <w:p w:rsidR="00555D93" w:rsidRDefault="00555D93"/>
    <w:p w:rsidR="00555D93" w:rsidRDefault="00555D93" w:rsidP="00555D93">
      <w:pPr>
        <w:jc w:val="center"/>
      </w:pPr>
      <w:r>
        <w:t>Članak 3.</w:t>
      </w:r>
    </w:p>
    <w:p w:rsidR="00555D93" w:rsidRDefault="00555D93" w:rsidP="00555D93">
      <w:pPr>
        <w:jc w:val="center"/>
      </w:pPr>
    </w:p>
    <w:p w:rsidR="00555D93" w:rsidRDefault="00555D93" w:rsidP="00555D93">
      <w:r>
        <w:t>Uvodi se redoviti sustav opominjanja po osnovi prihoda koje određeni dužnik ima prema Školi.</w:t>
      </w:r>
    </w:p>
    <w:p w:rsidR="005B411E" w:rsidRDefault="005B411E" w:rsidP="005B411E">
      <w:r>
        <w:t>Mjere naplate dospjelih, a nenaplaćenih potraživanja obuhvaćaju slijedeće:</w:t>
      </w:r>
    </w:p>
    <w:p w:rsidR="005B411E" w:rsidRDefault="005B411E" w:rsidP="005B411E">
      <w:r>
        <w:t>- usmeni kontakt,</w:t>
      </w:r>
    </w:p>
    <w:p w:rsidR="005B411E" w:rsidRDefault="005B411E" w:rsidP="005B411E">
      <w:r>
        <w:t>- prva pisana opomena,</w:t>
      </w:r>
    </w:p>
    <w:p w:rsidR="005B411E" w:rsidRDefault="005B411E" w:rsidP="005B411E">
      <w:r>
        <w:t>- pisana opomena pred pokretanje ovršnog postupka i</w:t>
      </w:r>
    </w:p>
    <w:p w:rsidR="005B411E" w:rsidRDefault="005B411E" w:rsidP="005B411E">
      <w:r>
        <w:t>- pokretanje ovršnog postupka radi naplate potraživanja</w:t>
      </w:r>
      <w:r w:rsidR="00251DAA">
        <w:t>.</w:t>
      </w:r>
    </w:p>
    <w:p w:rsidR="005B411E" w:rsidRDefault="005B411E" w:rsidP="00555D93"/>
    <w:p w:rsidR="00D74A88" w:rsidRDefault="00D74A88" w:rsidP="00555D93"/>
    <w:p w:rsidR="008560B8" w:rsidRPr="00251DAA" w:rsidRDefault="008560B8" w:rsidP="00555D93">
      <w:pPr>
        <w:rPr>
          <w:b/>
          <w:u w:val="single"/>
        </w:rPr>
      </w:pPr>
      <w:r w:rsidRPr="00251DAA">
        <w:rPr>
          <w:b/>
          <w:u w:val="single"/>
        </w:rPr>
        <w:t>Školska kuhinja</w:t>
      </w:r>
    </w:p>
    <w:p w:rsidR="000C3307" w:rsidRDefault="000C3307" w:rsidP="00555D93">
      <w:r>
        <w:t>Škola s korisnikom usluga školske kuhinje sklapa ugovor o prehrani</w:t>
      </w:r>
      <w:r w:rsidR="00251DAA">
        <w:t xml:space="preserve"> za školsku godinu, a korisnik </w:t>
      </w:r>
      <w:r>
        <w:t>na temelju uplatnice, na mjesečnoj bazi</w:t>
      </w:r>
      <w:r w:rsidR="00D74A88">
        <w:t>,</w:t>
      </w:r>
      <w:r>
        <w:t xml:space="preserve"> uplaćuje korištenje prehrane do kraja mjeseca za tekući mjesec na žiro račun škole, a primjerak uplatnice donosi razredniku na uvid.</w:t>
      </w:r>
    </w:p>
    <w:p w:rsidR="000C3307" w:rsidRDefault="000C3307" w:rsidP="00555D93">
      <w:r>
        <w:t xml:space="preserve">Razrednik je obavezan u listu upisati iznos koji je uplaćen za školsku kuhinju i datum </w:t>
      </w:r>
      <w:r w:rsidR="00D74A88">
        <w:t>uplate i istu predati u računovodstvo radi kontrole uplate.</w:t>
      </w:r>
    </w:p>
    <w:p w:rsidR="000C3307" w:rsidRDefault="000C3307" w:rsidP="00555D93">
      <w:r>
        <w:t>Svaki razrednik na kraju mjeseca utvrđuje broj učenika koji će se hraniti u idućem mjesecu i dostavlja ga u računovodstvo radi izrade uplatnica za slijedeći mjesec.</w:t>
      </w:r>
    </w:p>
    <w:p w:rsidR="008560B8" w:rsidRDefault="008560B8" w:rsidP="00555D93">
      <w:r>
        <w:t>Ako razrednik ustanovi da školska kuhinja nije plaćena do kraja mjeseca za prethodni mjesec usmeno opominje roditelja. Ako roditelj ne izvrši uplatu nakon usmene opomene, tajnik škole će uputiti pismenu opomenu. Ako školska kuhinja ne bude plaćena u roku od 2 mjeseca razrednik i ravnatelj</w:t>
      </w:r>
      <w:r w:rsidR="00251DAA">
        <w:t>ica</w:t>
      </w:r>
      <w:r>
        <w:t xml:space="preserve"> razmatraju mogućnost isključenja učenika iz prehrane u školskoj kuhinji.</w:t>
      </w:r>
    </w:p>
    <w:p w:rsidR="00D74A88" w:rsidRDefault="00D74A88" w:rsidP="00555D93"/>
    <w:p w:rsidR="00555D93" w:rsidRPr="00251DAA" w:rsidRDefault="008560B8" w:rsidP="00555D93">
      <w:pPr>
        <w:rPr>
          <w:b/>
          <w:u w:val="single"/>
        </w:rPr>
      </w:pPr>
      <w:r w:rsidRPr="00251DAA">
        <w:rPr>
          <w:b/>
          <w:u w:val="single"/>
        </w:rPr>
        <w:t>Najam prostora</w:t>
      </w:r>
    </w:p>
    <w:p w:rsidR="008560B8" w:rsidRDefault="008560B8" w:rsidP="00555D93">
      <w:r>
        <w:t>Škola s korisnikom školskog prostora i opreme (fizička ili pravna osoba) sklapa Ugovor o najmu/zakupu šk</w:t>
      </w:r>
      <w:r w:rsidR="00021C37">
        <w:t>olskog prostora i opreme. Tajništvo</w:t>
      </w:r>
      <w:r>
        <w:t xml:space="preserve"> škole vodi evidenciju ugovora. Voditelj računovodstva na temelju ugovora i evidencije korištenja prostora i opreme, vrši obračun i izdaje fakturu</w:t>
      </w:r>
      <w:r w:rsidR="000C3307">
        <w:t xml:space="preserve"> do 10-tog u tekućem mjesecu za prethodni mjesec.</w:t>
      </w:r>
    </w:p>
    <w:p w:rsidR="000C3307" w:rsidRDefault="000C3307" w:rsidP="00555D93">
      <w:r>
        <w:t xml:space="preserve">Korisnici školskog prostora i opreme </w:t>
      </w:r>
      <w:r w:rsidR="00A246CB">
        <w:t>plaćaju korištenje u roku od 8</w:t>
      </w:r>
      <w:r>
        <w:t xml:space="preserve"> dana po primljenoj fakturi na žir</w:t>
      </w:r>
      <w:r w:rsidR="00D74A88">
        <w:t>o-</w:t>
      </w:r>
      <w:r>
        <w:t>račun škole.</w:t>
      </w:r>
    </w:p>
    <w:p w:rsidR="00D74A88" w:rsidRDefault="00D74A88" w:rsidP="00555D93">
      <w:r>
        <w:t>Voditelj računovodstva vodi evidenciju o naplati usluga korištenja škol</w:t>
      </w:r>
      <w:r w:rsidR="005B411E">
        <w:t>skog prostora i opreme i o dugovanju obavještava ravnateljicu škole.</w:t>
      </w:r>
    </w:p>
    <w:p w:rsidR="005B411E" w:rsidRDefault="005B411E" w:rsidP="00555D93">
      <w:r>
        <w:t>Ravnateljica škole zadužena je za provođenje mjere usmenog kontakta s dužnikom.</w:t>
      </w:r>
    </w:p>
    <w:p w:rsidR="00D74A88" w:rsidRDefault="00D74A88" w:rsidP="00555D93"/>
    <w:p w:rsidR="00D74A88" w:rsidRDefault="00D74A88" w:rsidP="00555D93"/>
    <w:p w:rsidR="00555D93" w:rsidRDefault="00251DAA" w:rsidP="00555D93">
      <w:pPr>
        <w:jc w:val="center"/>
      </w:pPr>
      <w:r>
        <w:t>Članak 4</w:t>
      </w:r>
      <w:r w:rsidR="00555D93">
        <w:t>.</w:t>
      </w:r>
    </w:p>
    <w:p w:rsidR="00555D93" w:rsidRDefault="00555D93" w:rsidP="00555D93">
      <w:pPr>
        <w:jc w:val="center"/>
      </w:pPr>
    </w:p>
    <w:p w:rsidR="00555D93" w:rsidRDefault="00555D93" w:rsidP="00555D93">
      <w:r>
        <w:t>Nakon što u roku 30 dana nije plaćen dug za koji je poslana</w:t>
      </w:r>
      <w:r w:rsidR="005B411E">
        <w:t xml:space="preserve"> pisana opomena pred pokretanje ovršnog postupka</w:t>
      </w:r>
      <w:r>
        <w:t>, računovodst</w:t>
      </w:r>
      <w:r w:rsidR="00251DAA">
        <w:t>vo o tome obavještava ravnateljicu</w:t>
      </w:r>
      <w:r>
        <w:t xml:space="preserve"> k</w:t>
      </w:r>
      <w:r w:rsidR="00251DAA">
        <w:t>oja</w:t>
      </w:r>
      <w:r>
        <w:t xml:space="preserve"> donosi Odluku o prisilnoj naplati potraživanja te se pokreće ovršni postupak kod javnog bilježnika.</w:t>
      </w:r>
    </w:p>
    <w:p w:rsidR="00555D93" w:rsidRDefault="00555D93" w:rsidP="00555D93">
      <w:r>
        <w:t>Ovršni postupak se pokreće za du</w:t>
      </w:r>
      <w:r w:rsidR="005B411E">
        <w:t>go</w:t>
      </w:r>
      <w:r w:rsidR="00A246CB">
        <w:t xml:space="preserve">vanja u visini većoj od 1.000 </w:t>
      </w:r>
      <w:r>
        <w:t xml:space="preserve"> kn po jednom dužniku.</w:t>
      </w:r>
    </w:p>
    <w:p w:rsidR="00AE795B" w:rsidRDefault="005B411E" w:rsidP="00555D93">
      <w:r>
        <w:t>Za pokretanje  i praćenje ovršnog postupka zaduženo je tajništvo škole.</w:t>
      </w:r>
    </w:p>
    <w:p w:rsidR="00021C37" w:rsidRDefault="00021C37" w:rsidP="00555D93"/>
    <w:p w:rsidR="00F670FE" w:rsidRDefault="00F670FE" w:rsidP="00555D93"/>
    <w:p w:rsidR="00021C37" w:rsidRDefault="00021C37" w:rsidP="00F670FE">
      <w:pPr>
        <w:jc w:val="center"/>
      </w:pPr>
      <w:r>
        <w:t>Članak 5.</w:t>
      </w:r>
    </w:p>
    <w:p w:rsidR="00F670FE" w:rsidRDefault="00F670FE" w:rsidP="00F670FE">
      <w:pPr>
        <w:jc w:val="center"/>
      </w:pPr>
    </w:p>
    <w:p w:rsidR="00021C37" w:rsidRDefault="00021C37" w:rsidP="00555D93">
      <w:r>
        <w:t xml:space="preserve">Ukoliko se utvrdi da su potraživanja nenaplativa temeljem pravomoćnih odluka nadležnog tijela (odluke suda i sl.), da su potraživanja nenaplativa zbog nastajanja zastare sukladno važećim zakonskim propisima, da potraživanja nemaju valjanu pravnu osnovu te zbog drugih </w:t>
      </w:r>
      <w:r>
        <w:lastRenderedPageBreak/>
        <w:t xml:space="preserve">okolnosti propisanih aktima osnivača ustanove, potraživanja će se djelomično ili u potpunosti otpisati. </w:t>
      </w:r>
    </w:p>
    <w:p w:rsidR="00021C37" w:rsidRDefault="00021C37" w:rsidP="00555D93">
      <w:r>
        <w:t>Ukoliko se utvrdi da se potraživanja ne mogu namiriti radi izvanrednih socijalno-ekonomskih okolnosti ista se također mogu otpisati djelomično ili u cijelosti.</w:t>
      </w:r>
    </w:p>
    <w:p w:rsidR="00021C37" w:rsidRDefault="00021C37" w:rsidP="00555D93">
      <w:r>
        <w:t>Odluku o otpisu donosi ravnateljica škole.</w:t>
      </w:r>
    </w:p>
    <w:p w:rsidR="005B411E" w:rsidRDefault="005B411E" w:rsidP="00555D93"/>
    <w:p w:rsidR="00FB5C19" w:rsidRDefault="00F670FE" w:rsidP="00FB5C19">
      <w:pPr>
        <w:jc w:val="center"/>
      </w:pPr>
      <w:r>
        <w:t>Članak 6</w:t>
      </w:r>
      <w:r w:rsidR="00FB5C19">
        <w:t>.</w:t>
      </w:r>
    </w:p>
    <w:p w:rsidR="00FB5C19" w:rsidRDefault="00FB5C19" w:rsidP="00FB5C19">
      <w:pPr>
        <w:jc w:val="center"/>
      </w:pPr>
    </w:p>
    <w:p w:rsidR="00FB5C19" w:rsidRDefault="00FB5C19" w:rsidP="00FB5C19">
      <w:r>
        <w:t>Ova Procedura stupa na snagu danom donošenja i objavit će se na mrežnim stranicama Škole.</w:t>
      </w:r>
    </w:p>
    <w:p w:rsidR="00FB5C19" w:rsidRDefault="00FB5C19" w:rsidP="00FB5C19"/>
    <w:p w:rsidR="005B411E" w:rsidRDefault="005B411E" w:rsidP="00FB5C19"/>
    <w:p w:rsidR="00FB5C19" w:rsidRDefault="005B411E" w:rsidP="00FB5C19">
      <w:r>
        <w:tab/>
      </w:r>
      <w:r>
        <w:tab/>
      </w:r>
      <w:r>
        <w:tab/>
      </w:r>
      <w:r>
        <w:tab/>
      </w:r>
      <w:r>
        <w:tab/>
      </w:r>
      <w:r>
        <w:tab/>
      </w:r>
      <w:r>
        <w:tab/>
      </w:r>
      <w:r>
        <w:tab/>
      </w:r>
      <w:r w:rsidR="00021C37">
        <w:t xml:space="preserve">         </w:t>
      </w:r>
      <w:r>
        <w:t>Ravnateljica</w:t>
      </w:r>
      <w:r w:rsidR="00FB5C19">
        <w:t>:</w:t>
      </w:r>
    </w:p>
    <w:p w:rsidR="00B87276" w:rsidRDefault="005B411E" w:rsidP="00FB5C19">
      <w:r>
        <w:tab/>
      </w:r>
      <w:r>
        <w:tab/>
      </w:r>
      <w:r>
        <w:tab/>
      </w:r>
      <w:r>
        <w:tab/>
      </w:r>
      <w:r>
        <w:tab/>
      </w:r>
      <w:r>
        <w:tab/>
      </w:r>
      <w:r>
        <w:tab/>
      </w:r>
      <w:r>
        <w:tab/>
      </w:r>
      <w:r w:rsidR="00021C37">
        <w:t xml:space="preserve">         </w:t>
      </w:r>
      <w:r>
        <w:t>Milena Veseljak</w:t>
      </w:r>
    </w:p>
    <w:sectPr w:rsidR="00B87276" w:rsidSect="00251DA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72224"/>
    <w:rsid w:val="00021C37"/>
    <w:rsid w:val="00025AB7"/>
    <w:rsid w:val="000605D9"/>
    <w:rsid w:val="000C3307"/>
    <w:rsid w:val="000D44A7"/>
    <w:rsid w:val="001045C7"/>
    <w:rsid w:val="00136257"/>
    <w:rsid w:val="00143372"/>
    <w:rsid w:val="0018630A"/>
    <w:rsid w:val="00223549"/>
    <w:rsid w:val="00251DAA"/>
    <w:rsid w:val="003B0989"/>
    <w:rsid w:val="00417551"/>
    <w:rsid w:val="004301C8"/>
    <w:rsid w:val="00492722"/>
    <w:rsid w:val="004B1728"/>
    <w:rsid w:val="004C6509"/>
    <w:rsid w:val="00555D93"/>
    <w:rsid w:val="005A25BE"/>
    <w:rsid w:val="005B411E"/>
    <w:rsid w:val="005C6B00"/>
    <w:rsid w:val="006034F6"/>
    <w:rsid w:val="00642FBD"/>
    <w:rsid w:val="00666E22"/>
    <w:rsid w:val="00677C12"/>
    <w:rsid w:val="00772224"/>
    <w:rsid w:val="007C3606"/>
    <w:rsid w:val="00834BB7"/>
    <w:rsid w:val="008560B8"/>
    <w:rsid w:val="00884D11"/>
    <w:rsid w:val="009573D4"/>
    <w:rsid w:val="009A3478"/>
    <w:rsid w:val="009C009D"/>
    <w:rsid w:val="009C0E97"/>
    <w:rsid w:val="00A246CB"/>
    <w:rsid w:val="00AE795B"/>
    <w:rsid w:val="00B87276"/>
    <w:rsid w:val="00BB0B2D"/>
    <w:rsid w:val="00C02765"/>
    <w:rsid w:val="00C20702"/>
    <w:rsid w:val="00C74D5F"/>
    <w:rsid w:val="00C806D4"/>
    <w:rsid w:val="00CD6FAB"/>
    <w:rsid w:val="00D23A6F"/>
    <w:rsid w:val="00D74A88"/>
    <w:rsid w:val="00D91008"/>
    <w:rsid w:val="00DA2048"/>
    <w:rsid w:val="00E25F2F"/>
    <w:rsid w:val="00E64A7D"/>
    <w:rsid w:val="00F670FE"/>
    <w:rsid w:val="00F7496B"/>
    <w:rsid w:val="00F96568"/>
    <w:rsid w:val="00FB5C19"/>
    <w:rsid w:val="00FF4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B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834BB7"/>
    <w:pPr>
      <w:keepNext/>
      <w:jc w:val="center"/>
      <w:outlineLvl w:val="0"/>
    </w:pPr>
    <w:rPr>
      <w:rFonts w:cs="Courier New"/>
      <w:b/>
      <w:bCs/>
      <w:sz w:val="20"/>
      <w:szCs w:val="20"/>
      <w:lang w:eastAsia="en-US"/>
    </w:rPr>
  </w:style>
  <w:style w:type="paragraph" w:styleId="Heading3">
    <w:name w:val="heading 3"/>
    <w:basedOn w:val="Normal"/>
    <w:next w:val="Normal"/>
    <w:link w:val="Heading3Char"/>
    <w:qFormat/>
    <w:rsid w:val="00834BB7"/>
    <w:pPr>
      <w:keepNext/>
      <w:outlineLvl w:val="2"/>
    </w:pPr>
    <w:rPr>
      <w:rFonts w:ascii="Arial"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BB7"/>
    <w:rPr>
      <w:rFonts w:ascii="Times New Roman" w:eastAsia="Times New Roman" w:hAnsi="Times New Roman" w:cs="Courier New"/>
      <w:b/>
      <w:bCs/>
      <w:sz w:val="20"/>
      <w:szCs w:val="20"/>
    </w:rPr>
  </w:style>
  <w:style w:type="character" w:customStyle="1" w:styleId="Heading3Char">
    <w:name w:val="Heading 3 Char"/>
    <w:basedOn w:val="DefaultParagraphFont"/>
    <w:link w:val="Heading3"/>
    <w:rsid w:val="00834BB7"/>
    <w:rPr>
      <w:rFonts w:ascii="Arial" w:eastAsia="Times New Roman" w:hAnsi="Arial" w:cs="Arial"/>
      <w:sz w:val="24"/>
      <w:szCs w:val="20"/>
    </w:rPr>
  </w:style>
  <w:style w:type="paragraph" w:styleId="BalloonText">
    <w:name w:val="Balloon Text"/>
    <w:basedOn w:val="Normal"/>
    <w:link w:val="BalloonTextChar"/>
    <w:uiPriority w:val="99"/>
    <w:semiHidden/>
    <w:unhideWhenUsed/>
    <w:rsid w:val="00834BB7"/>
    <w:rPr>
      <w:rFonts w:ascii="Tahoma" w:hAnsi="Tahoma" w:cs="Tahoma"/>
      <w:sz w:val="16"/>
      <w:szCs w:val="16"/>
    </w:rPr>
  </w:style>
  <w:style w:type="character" w:customStyle="1" w:styleId="BalloonTextChar">
    <w:name w:val="Balloon Text Char"/>
    <w:basedOn w:val="DefaultParagraphFont"/>
    <w:link w:val="BalloonText"/>
    <w:uiPriority w:val="99"/>
    <w:semiHidden/>
    <w:rsid w:val="00834BB7"/>
    <w:rPr>
      <w:rFonts w:ascii="Tahoma" w:eastAsia="Times New Roman" w:hAnsi="Tahoma" w:cs="Tahoma"/>
      <w:sz w:val="16"/>
      <w:szCs w:val="16"/>
      <w:lang w:eastAsia="hr-HR"/>
    </w:rPr>
  </w:style>
  <w:style w:type="table" w:styleId="TableGrid">
    <w:name w:val="Table Grid"/>
    <w:basedOn w:val="TableNormal"/>
    <w:uiPriority w:val="59"/>
    <w:rsid w:val="005A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794</Words>
  <Characters>4527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OSRadoboj</cp:lastModifiedBy>
  <cp:revision>8</cp:revision>
  <cp:lastPrinted>2016-01-27T12:27:00Z</cp:lastPrinted>
  <dcterms:created xsi:type="dcterms:W3CDTF">2016-04-17T12:55:00Z</dcterms:created>
  <dcterms:modified xsi:type="dcterms:W3CDTF">2016-08-26T06:41:00Z</dcterms:modified>
</cp:coreProperties>
</file>